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6.jpeg" ContentType="image/jpeg"/>
  <Override PartName="/word/media/image5.png" ContentType="image/png"/>
  <Override PartName="/word/media/image7.png" ContentType="image/png"/>
  <Override PartName="/word/media/image8.png" ContentType="image/png"/>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wka"/>
        <w:jc w:val="right"/>
        <w:rPr>
          <w:sz w:val="16"/>
          <w:szCs w:val="16"/>
        </w:rPr>
      </w:pPr>
      <w:r>
        <w:rPr>
          <w:sz w:val="16"/>
          <w:szCs w:val="16"/>
        </w:rPr>
        <w:t>Załącznik nr 2</w:t>
      </w:r>
    </w:p>
    <w:p>
      <w:pPr>
        <w:pStyle w:val="Gwka"/>
        <w:jc w:val="right"/>
        <w:rPr/>
      </w:pPr>
      <w:r>
        <w:rPr>
          <w:sz w:val="16"/>
          <w:szCs w:val="16"/>
        </w:rPr>
        <w:t>do Uchwały nr 2/2022 Zarządu</w:t>
        <w:br/>
        <w:t>Stowarzyszenia Centrum Inicjatyw Wiejskich</w:t>
      </w:r>
    </w:p>
    <w:p>
      <w:pPr>
        <w:pStyle w:val="Gwka"/>
        <w:jc w:val="right"/>
        <w:rPr/>
      </w:pPr>
      <w:r>
        <w:rPr>
          <w:sz w:val="16"/>
          <w:szCs w:val="16"/>
        </w:rPr>
        <w:t>z dnia 18 stycznia 2022 roku</w:t>
      </w:r>
    </w:p>
    <w:p>
      <w:pPr>
        <w:pStyle w:val="Normal"/>
        <w:jc w:val="right"/>
        <w:rPr>
          <w:rFonts w:ascii="Times New Roman" w:hAnsi="Times New Roman" w:cs="Times New Roman"/>
          <w:b/>
          <w:b/>
          <w:sz w:val="16"/>
          <w:szCs w:val="16"/>
        </w:rPr>
      </w:pPr>
      <w:r>
        <w:rPr>
          <w:rFonts w:cs="Times New Roman" w:ascii="Times New Roman" w:hAnsi="Times New Roman"/>
          <w:b/>
          <w:sz w:val="16"/>
          <w:szCs w:val="16"/>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lang w:val="pl-PL" w:eastAsia="pl-PL"/>
        </w:rPr>
        <w:drawing>
          <wp:inline distT="0" distB="0" distL="0" distR="0">
            <wp:extent cx="3303270" cy="3317240"/>
            <wp:effectExtent l="0" t="0" r="0" b="0"/>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rcRect l="-6" t="-6" r="-6" b="-6"/>
                    <a:stretch>
                      <a:fillRect/>
                    </a:stretch>
                  </pic:blipFill>
                  <pic:spPr bwMode="auto">
                    <a:xfrm>
                      <a:off x="0" y="0"/>
                      <a:ext cx="3303270" cy="3317240"/>
                    </a:xfrm>
                    <a:prstGeom prst="rect">
                      <a:avLst/>
                    </a:prstGeom>
                  </pic:spPr>
                </pic:pic>
              </a:graphicData>
            </a:graphic>
          </wp:inline>
        </w:drawing>
      </w:r>
    </w:p>
    <w:p>
      <w:pPr>
        <w:pStyle w:val="Normal"/>
        <w:rPr>
          <w:rFonts w:ascii="Times New Roman" w:hAnsi="Times New Roman" w:cs="Times New Roman"/>
          <w:b/>
          <w:b/>
          <w:sz w:val="72"/>
          <w:szCs w:val="72"/>
        </w:rPr>
      </w:pPr>
      <w:r>
        <w:rPr>
          <w:rFonts w:cs="Times New Roman" w:ascii="Times New Roman" w:hAnsi="Times New Roman"/>
          <w:b/>
          <w:sz w:val="72"/>
          <w:szCs w:val="72"/>
        </w:rPr>
      </w:r>
    </w:p>
    <w:p>
      <w:pPr>
        <w:pStyle w:val="Normal"/>
        <w:jc w:val="center"/>
        <w:rPr>
          <w:rFonts w:ascii="Times New Roman" w:hAnsi="Times New Roman" w:cs="Times New Roman"/>
          <w:b/>
          <w:b/>
          <w:sz w:val="72"/>
          <w:szCs w:val="72"/>
        </w:rPr>
      </w:pPr>
      <w:r>
        <w:rPr>
          <w:rFonts w:cs="Times New Roman" w:ascii="Times New Roman" w:hAnsi="Times New Roman"/>
          <w:b/>
          <w:sz w:val="72"/>
          <w:szCs w:val="72"/>
        </w:rPr>
        <w:t xml:space="preserve">Lokalna Strategia Rozwoju </w:t>
      </w:r>
    </w:p>
    <w:p>
      <w:pPr>
        <w:pStyle w:val="Normal"/>
        <w:jc w:val="center"/>
        <w:rPr>
          <w:rFonts w:ascii="Times New Roman" w:hAnsi="Times New Roman" w:cs="Times New Roman"/>
          <w:b/>
          <w:b/>
          <w:sz w:val="72"/>
          <w:szCs w:val="72"/>
        </w:rPr>
      </w:pPr>
      <w:r>
        <w:rPr>
          <w:rFonts w:cs="Times New Roman" w:ascii="Times New Roman" w:hAnsi="Times New Roman"/>
          <w:b/>
          <w:sz w:val="72"/>
          <w:szCs w:val="72"/>
        </w:rPr>
        <w:t xml:space="preserve">Centrum Inicjatyw Wiejskich </w:t>
        <w:br/>
        <w:t>na lata 2014-2020</w:t>
      </w:r>
    </w:p>
    <w:p>
      <w:pPr>
        <w:pStyle w:val="Normal"/>
        <w:jc w:val="center"/>
        <w:rPr>
          <w:rFonts w:ascii="Times New Roman" w:hAnsi="Times New Roman" w:cs="Times New Roman"/>
          <w:sz w:val="24"/>
          <w:szCs w:val="24"/>
        </w:rPr>
      </w:pPr>
      <w:r>
        <w:rPr>
          <w:rFonts w:cs="Times New Roman" w:ascii="Times New Roman" w:hAnsi="Times New Roman"/>
          <w:sz w:val="24"/>
          <w:szCs w:val="24"/>
        </w:rPr>
        <w:t>Tekst jednolity</w:t>
      </w:r>
    </w:p>
    <w:p>
      <w:pPr>
        <w:pStyle w:val="Normal"/>
        <w:jc w:val="center"/>
        <w:rPr>
          <w:rFonts w:ascii="Times New Roman" w:hAnsi="Times New Roman" w:cs="Times New Roman"/>
          <w:sz w:val="24"/>
          <w:szCs w:val="24"/>
        </w:rPr>
      </w:pPr>
      <w:r>
        <w:rPr>
          <w:rFonts w:cs="Times New Roman" w:ascii="Times New Roman" w:hAnsi="Times New Roman"/>
          <w:sz w:val="24"/>
          <w:szCs w:val="24"/>
        </w:rPr>
        <w:t>Aktualizacja 18.01.2022 r.</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rPr>
      </w:pPr>
      <w:r>
        <w:rPr>
          <w:rFonts w:cs="Times New Roman" w:ascii="Times New Roman" w:hAnsi="Times New Roman"/>
          <w:b/>
        </w:rPr>
      </w:r>
    </w:p>
    <w:p>
      <w:pPr>
        <w:pStyle w:val="Normal"/>
        <w:jc w:val="center"/>
        <w:rPr>
          <w:bCs/>
        </w:rPr>
      </w:pPr>
      <w:r>
        <w:rPr>
          <w:b/>
          <w:lang w:val="pl-PL" w:eastAsia="pl-PL"/>
        </w:rPr>
        <w:drawing>
          <wp:inline distT="0" distB="0" distL="0" distR="0">
            <wp:extent cx="1146175" cy="737870"/>
            <wp:effectExtent l="0" t="0" r="0" b="0"/>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rcRect l="-14" t="-21" r="-14" b="-21"/>
                    <a:stretch>
                      <a:fillRect/>
                    </a:stretch>
                  </pic:blipFill>
                  <pic:spPr bwMode="auto">
                    <a:xfrm>
                      <a:off x="0" y="0"/>
                      <a:ext cx="1146175" cy="737870"/>
                    </a:xfrm>
                    <a:prstGeom prst="rect">
                      <a:avLst/>
                    </a:prstGeom>
                  </pic:spPr>
                </pic:pic>
              </a:graphicData>
            </a:graphic>
          </wp:inline>
        </w:drawing>
      </w:r>
      <w:r>
        <w:rPr>
          <w:rFonts w:cs="Calibri"/>
          <w:bCs/>
        </w:rPr>
        <w:t xml:space="preserve">           </w:t>
      </w:r>
      <w:r>
        <w:rPr>
          <w:b/>
          <w:lang w:val="pl-PL" w:eastAsia="pl-PL"/>
        </w:rPr>
        <w:drawing>
          <wp:inline distT="0" distB="0" distL="0" distR="0">
            <wp:extent cx="1337310" cy="777875"/>
            <wp:effectExtent l="0" t="0" r="0" b="0"/>
            <wp:docPr id="3"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
                    <pic:cNvPicPr>
                      <a:picLocks noChangeAspect="1" noChangeArrowheads="1"/>
                    </pic:cNvPicPr>
                  </pic:nvPicPr>
                  <pic:blipFill>
                    <a:blip r:embed="rId4"/>
                    <a:srcRect l="-27" t="-46" r="-27" b="-46"/>
                    <a:stretch>
                      <a:fillRect/>
                    </a:stretch>
                  </pic:blipFill>
                  <pic:spPr bwMode="auto">
                    <a:xfrm>
                      <a:off x="0" y="0"/>
                      <a:ext cx="1337310" cy="777875"/>
                    </a:xfrm>
                    <a:prstGeom prst="rect">
                      <a:avLst/>
                    </a:prstGeom>
                  </pic:spPr>
                </pic:pic>
              </a:graphicData>
            </a:graphic>
          </wp:inline>
        </w:drawing>
      </w:r>
      <w:r>
        <w:rPr>
          <w:rFonts w:cs="Calibri"/>
          <w:bCs/>
        </w:rPr>
        <w:t xml:space="preserve">          </w:t>
      </w:r>
      <w:r>
        <w:rPr>
          <w:b/>
          <w:lang w:val="pl-PL" w:eastAsia="pl-PL"/>
        </w:rPr>
        <w:drawing>
          <wp:inline distT="0" distB="0" distL="0" distR="0">
            <wp:extent cx="737235" cy="737235"/>
            <wp:effectExtent l="0" t="0" r="0" b="0"/>
            <wp:docPr id="4"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
                    <pic:cNvPicPr>
                      <a:picLocks noChangeAspect="1" noChangeArrowheads="1"/>
                    </pic:cNvPicPr>
                  </pic:nvPicPr>
                  <pic:blipFill>
                    <a:blip r:embed="rId5"/>
                    <a:srcRect l="-66" t="-66" r="-66" b="-66"/>
                    <a:stretch>
                      <a:fillRect/>
                    </a:stretch>
                  </pic:blipFill>
                  <pic:spPr bwMode="auto">
                    <a:xfrm>
                      <a:off x="0" y="0"/>
                      <a:ext cx="737235" cy="737235"/>
                    </a:xfrm>
                    <a:prstGeom prst="rect">
                      <a:avLst/>
                    </a:prstGeom>
                  </pic:spPr>
                </pic:pic>
              </a:graphicData>
            </a:graphic>
          </wp:inline>
        </w:drawing>
      </w:r>
      <w:r>
        <w:rPr>
          <w:rFonts w:cs="Calibri"/>
          <w:bCs/>
        </w:rPr>
        <w:t xml:space="preserve">          </w:t>
      </w:r>
      <w:r>
        <w:rPr>
          <w:b/>
          <w:lang w:val="pl-PL" w:eastAsia="pl-PL"/>
        </w:rPr>
        <w:drawing>
          <wp:inline distT="0" distB="0" distL="0" distR="0">
            <wp:extent cx="1296035" cy="846455"/>
            <wp:effectExtent l="0" t="0" r="0" b="0"/>
            <wp:docPr id="5"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descr=""/>
                    <pic:cNvPicPr>
                      <a:picLocks noChangeAspect="1" noChangeArrowheads="1"/>
                    </pic:cNvPicPr>
                  </pic:nvPicPr>
                  <pic:blipFill>
                    <a:blip r:embed="rId6"/>
                    <a:srcRect l="-27" t="-42" r="-27" b="-42"/>
                    <a:stretch>
                      <a:fillRect/>
                    </a:stretch>
                  </pic:blipFill>
                  <pic:spPr bwMode="auto">
                    <a:xfrm>
                      <a:off x="0" y="0"/>
                      <a:ext cx="1296035" cy="846455"/>
                    </a:xfrm>
                    <a:prstGeom prst="rect">
                      <a:avLst/>
                    </a:prstGeom>
                  </pic:spPr>
                </pic:pic>
              </a:graphicData>
            </a:graphic>
          </wp:inline>
        </w:drawing>
      </w:r>
    </w:p>
    <w:p>
      <w:pPr>
        <w:pStyle w:val="Normal"/>
        <w:jc w:val="center"/>
        <w:rPr>
          <w:rFonts w:ascii="Times New Roman" w:hAnsi="Times New Roman" w:cs="Times New Roman"/>
          <w:b/>
          <w:b/>
          <w:sz w:val="16"/>
          <w:szCs w:val="16"/>
        </w:rPr>
      </w:pPr>
      <w:r>
        <w:rPr>
          <w:bCs/>
          <w:sz w:val="16"/>
          <w:szCs w:val="16"/>
        </w:rPr>
        <w:t>Lokalna Strategia Rozwoju współfinansowana ze środków Unii Europejskiej w ramach: Działanie: 19 Wsparcie dla rozwoju lokalnego w ramach inicjatywy LEADER   Poddziałanie: 19.1 Wsparcie przygotowawcze objętego Programem Rozwoju Obszarów Wiejskich na lata 2014-2020</w:t>
      </w:r>
      <w:r>
        <w:rPr>
          <w:b/>
          <w:bCs/>
          <w:sz w:val="16"/>
          <w:szCs w:val="16"/>
        </w:rPr>
        <w:t xml:space="preserve"> </w:t>
      </w:r>
      <w:r>
        <w:br w:type="page"/>
      </w:r>
    </w:p>
    <w:p>
      <w:pPr>
        <w:pStyle w:val="Normal"/>
        <w:jc w:val="center"/>
        <w:rPr>
          <w:rFonts w:ascii="Times New Roman" w:hAnsi="Times New Roman" w:cs="Times New Roman"/>
          <w:b/>
          <w:b/>
          <w:sz w:val="16"/>
          <w:szCs w:val="16"/>
        </w:rPr>
      </w:pPr>
      <w:r>
        <w:rPr>
          <w:rFonts w:cs="Times New Roman" w:ascii="Times New Roman" w:hAnsi="Times New Roman"/>
          <w:b/>
          <w:sz w:val="16"/>
          <w:szCs w:val="16"/>
        </w:rPr>
      </w:r>
    </w:p>
    <w:p>
      <w:pPr>
        <w:pStyle w:val="Normal"/>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Normal"/>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Normal"/>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t>Wstęp</w:t>
      </w:r>
    </w:p>
    <w:p>
      <w:pPr>
        <w:pStyle w:val="Normal"/>
        <w:jc w:val="right"/>
        <w:rPr>
          <w:rFonts w:ascii="Times New Roman" w:hAnsi="Times New Roman" w:cs="Times New Roman"/>
          <w:sz w:val="24"/>
          <w:szCs w:val="24"/>
          <w:lang w:eastAsia="pl-PL"/>
        </w:rPr>
      </w:pPr>
      <w:r>
        <w:rPr>
          <w:rFonts w:cs="Times New Roman" w:ascii="Times New Roman" w:hAnsi="Times New Roman"/>
          <w:sz w:val="24"/>
          <w:szCs w:val="24"/>
          <w:lang w:eastAsia="pl-PL"/>
        </w:rPr>
        <w:t xml:space="preserve">Szanowni Państwo - </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 satysfakcją przedstawiam Państwu Lokalną Strategię Rozwoju Stowarzyszenia Centrum Inicjatyw Wiejskich, przygotowaną w ramach działania LEADER Programu Rozwoju Obszarów Wiejskich na lata 2014 - 2020. Strategia ta została napisana dla obszaru gmin powiatu łobeskiego, który jest spójny terytorialnie, charakteryzują go wspólne tradycje historyczne, kulturowe i przyrodnicze. Spójność tego obszaru przejawia się w wielu wymiarach: geograficzno-przestrzennym, środowiskowym, historycznym, kulturowym, demograficznym, gospodarczym i rynku pracy. </w:t>
      </w:r>
    </w:p>
    <w:p>
      <w:pPr>
        <w:pStyle w:val="Normal"/>
        <w:jc w:val="both"/>
        <w:rPr/>
      </w:pPr>
      <w:r>
        <w:rPr>
          <w:rFonts w:cs="Times New Roman" w:ascii="Times New Roman" w:hAnsi="Times New Roman"/>
          <w:b/>
          <w:sz w:val="24"/>
          <w:szCs w:val="24"/>
          <w:lang w:eastAsia="pl-PL"/>
        </w:rPr>
        <w:t>O „rozwoju lokalnym kierowanym przez społeczność” (RLKS)</w:t>
      </w:r>
      <w:r>
        <w:rPr>
          <w:rFonts w:cs="Times New Roman" w:ascii="Times New Roman" w:hAnsi="Times New Roman"/>
          <w:sz w:val="24"/>
          <w:szCs w:val="24"/>
          <w:lang w:eastAsia="pl-PL"/>
        </w:rPr>
        <w:t xml:space="preserve"> w nowej perspektywie unijnego programowania mówiło się bardzo wiele podczas konferencji, seminariów i szkoleń, przybliżających możliwości korzystania z funduszy PROW. W materiałach informacyjnych, na stronach internetowych, spotkaniach podkreślana jest informacja, że „rozwój lokalny kierowany przez społeczność stanowi jeden z nowych instrumentów realizacji podejścia terytorialnego w polityce rozwoju, który został zaproponowany przez Komisję Europejską na nowy okres finansowy 2014-2020.” Co jednak znacznie ważniejsze, </w:t>
      </w:r>
      <w:r>
        <w:rPr>
          <w:rFonts w:cs="Times New Roman" w:ascii="Times New Roman" w:hAnsi="Times New Roman"/>
          <w:b/>
          <w:sz w:val="24"/>
          <w:szCs w:val="24"/>
          <w:lang w:eastAsia="pl-PL"/>
        </w:rPr>
        <w:t>idea RLKS zakłada, że to obywatele diagnozują, planują i realizują działania na rzecz swojej społeczności – rozwój jest więc stymulowany przez obywateli, w sposób oddolny. A wszystko odbywa się w oparciu o oddolnie wypracowaną strategię (Lokalną Strategię Rozwoju – LSR).</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Niniejszy dokument powstał w wyniku kilkumiesięcznej pracy, w którą byli zaangażowani przedstawiciele  trzech sektorów: publicznego, społecznego i gospodarczego obszaru, na którym działa Stowarzyszenie Centrum Inicjatyw Wiejskich, stanowiące Lokalną Grupę Działania.</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Opracowana strategia koncentruje się wokół trzech celów strategicznych, które przedstawiają kierunki rozwojowe na najbliższe lata, wybrane przez przedstawicieli władz lokalnych, stowarzyszeń, przedsiębiorców oraz mieszkańców powiatu łobeskiego. Cele strategiczne oraz szczegółowe wynikają z pracy społeczności lokalnej na warsztatach, analizy SWOT oraz są odpowiedzią na potrzeby mieszkańców,  zidentyfikowane podczas spotkań konsultacyjnych i warsztatów strategicznych.</w:t>
      </w:r>
    </w:p>
    <w:p>
      <w:pPr>
        <w:pStyle w:val="Normal"/>
        <w:jc w:val="both"/>
        <w:rPr>
          <w:rFonts w:ascii="Times New Roman" w:hAnsi="Times New Roman" w:cs="Times New Roman"/>
          <w:sz w:val="24"/>
          <w:szCs w:val="24"/>
          <w:lang w:eastAsia="pl-PL"/>
        </w:rPr>
      </w:pPr>
      <w:r>
        <w:rPr>
          <w:rFonts w:cs="Times New Roman" w:ascii="Times New Roman" w:hAnsi="Times New Roman"/>
          <w:sz w:val="24"/>
          <w:szCs w:val="24"/>
          <w:lang w:eastAsia="pl-PL"/>
        </w:rPr>
        <w:t>Zachęcam Państwa do zaangażowania się w realizację zapisanych przedsięwzięć i pomysłów w naszej Lokalnej Strategii Rozwoju. Tylko wspólnymi siłami możemy osiągnąć założone w Strategii cele rozwojowe. Poprzez wspólne zaangażowanie w aktywny sposób wpłyniemy na rozwój Ziemi Łobeskiej i  podniesienie jakości życia jej mieszkańców.</w:t>
      </w:r>
    </w:p>
    <w:p>
      <w:pPr>
        <w:pStyle w:val="Normal"/>
        <w:jc w:val="right"/>
        <w:rPr>
          <w:rFonts w:ascii="Times New Roman" w:hAnsi="Times New Roman" w:cs="Times New Roman"/>
          <w:lang w:eastAsia="pl-PL"/>
        </w:rPr>
      </w:pPr>
      <w:r>
        <w:rPr>
          <w:rFonts w:cs="Times New Roman" w:ascii="Times New Roman" w:hAnsi="Times New Roman"/>
          <w:lang w:eastAsia="pl-PL"/>
        </w:rPr>
        <w:t>Prezes Stowarzyszenia</w:t>
      </w:r>
    </w:p>
    <w:p>
      <w:pPr>
        <w:pStyle w:val="Normal"/>
        <w:jc w:val="right"/>
        <w:rPr/>
      </w:pPr>
      <w:r>
        <w:rPr>
          <w:rFonts w:cs="Times New Roman" w:ascii="Times New Roman" w:hAnsi="Times New Roman"/>
          <w:lang w:eastAsia="pl-PL"/>
        </w:rPr>
        <w:t>Lokalna Grupa Działania Centrum Inicjatyw Wiejskich</w:t>
      </w:r>
    </w:p>
    <w:p>
      <w:pPr>
        <w:pStyle w:val="Normal"/>
        <w:jc w:val="right"/>
        <w:rPr>
          <w:rFonts w:ascii="Times New Roman" w:hAnsi="Times New Roman" w:cs="Times New Roman"/>
          <w:lang w:eastAsia="pl-PL"/>
        </w:rPr>
      </w:pPr>
      <w:r>
        <w:rPr>
          <w:rFonts w:cs="Times New Roman" w:ascii="Times New Roman" w:hAnsi="Times New Roman"/>
          <w:lang w:eastAsia="pl-PL"/>
        </w:rPr>
        <w:t>Grażyna Zaremba - Szuba</w:t>
      </w:r>
    </w:p>
    <w:p>
      <w:pPr>
        <w:pStyle w:val="Normal"/>
        <w:jc w:val="both"/>
        <w:rPr>
          <w:rFonts w:ascii="Times New Roman" w:hAnsi="Times New Roman" w:cs="Times New Roman"/>
          <w:lang w:eastAsia="pl-PL"/>
        </w:rPr>
      </w:pPr>
      <w:r>
        <w:rPr>
          <w:rFonts w:cs="Times New Roman" w:ascii="Times New Roman" w:hAnsi="Times New Roman"/>
          <w:lang w:eastAsia="pl-PL"/>
        </w:rPr>
      </w:r>
    </w:p>
    <w:p>
      <w:pPr>
        <w:pStyle w:val="Normal"/>
        <w:rPr>
          <w:rFonts w:ascii="Times New Roman" w:hAnsi="Times New Roman" w:cs="Times New Roman"/>
          <w:b/>
          <w:b/>
          <w:lang w:eastAsia="pl-PL"/>
        </w:rPr>
      </w:pPr>
      <w:r>
        <w:rPr>
          <w:rFonts w:cs="Times New Roman" w:ascii="Times New Roman" w:hAnsi="Times New Roman"/>
          <w:b/>
          <w:lang w:eastAsia="pl-PL"/>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agwekspisutreci"/>
        <w:rPr>
          <w:rFonts w:ascii="Times New Roman" w:hAnsi="Times New Roman" w:cs="Times New Roman"/>
          <w:b w:val="false"/>
          <w:b w:val="false"/>
        </w:rPr>
      </w:pPr>
      <w:r>
        <w:rPr>
          <w:rFonts w:cs="Times New Roman" w:ascii="Times New Roman" w:hAnsi="Times New Roman"/>
          <w:b w:val="false"/>
        </w:rPr>
      </w:r>
    </w:p>
    <w:p>
      <w:pPr>
        <w:pStyle w:val="Nagwekspisutreci"/>
        <w:rPr>
          <w:rFonts w:ascii="Times New Roman" w:hAnsi="Times New Roman" w:cs="Times New Roman"/>
        </w:rPr>
      </w:pPr>
      <w:r>
        <w:rPr>
          <w:rFonts w:cs="Times New Roman" w:ascii="Times New Roman" w:hAnsi="Times New Roman"/>
        </w:rPr>
        <w:t>Lokalna Strategia Rozwoju (LSR) Centrum Inicjatyw Wiejskich:</w:t>
      </w:r>
    </w:p>
    <w:p>
      <w:pPr>
        <w:pStyle w:val="Spistreci2"/>
        <w:ind w:left="0" w:hanging="0"/>
        <w:rPr>
          <w:rFonts w:ascii="Times New Roman" w:hAnsi="Times New Roman" w:cs="Times New Roman"/>
        </w:rPr>
      </w:pPr>
      <w:r>
        <w:rPr>
          <w:rFonts w:eastAsia="Times New Roman" w:cs="Times New Roman" w:ascii="Times New Roman" w:hAnsi="Times New Roman"/>
        </w:rPr>
        <w:t xml:space="preserve">    </w:t>
      </w:r>
    </w:p>
    <w:p>
      <w:pPr>
        <w:pStyle w:val="Spistreci2"/>
        <w:tabs>
          <w:tab w:val="clear" w:pos="708"/>
          <w:tab w:val="right" w:pos="10488" w:leader="dot"/>
        </w:tabs>
        <w:ind w:left="0" w:hanging="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Spis treści……………………………………………………………………………………………………….3</w:t>
      </w:r>
    </w:p>
    <w:p>
      <w:pPr>
        <w:pStyle w:val="Spistreci2"/>
        <w:tabs>
          <w:tab w:val="clear" w:pos="708"/>
          <w:tab w:val="right" w:pos="10488" w:leader="dot"/>
        </w:tabs>
        <w:ind w:left="216" w:hanging="0"/>
        <w:rPr>
          <w:rFonts w:ascii="Times New Roman" w:hAnsi="Times New Roman" w:cs="Times New Roman"/>
        </w:rPr>
      </w:pPr>
      <w:r>
        <w:rPr>
          <w:rFonts w:cs="Times New Roman" w:ascii="Times New Roman" w:hAnsi="Times New Roman"/>
        </w:rPr>
        <w:t>Słownik pojęć…………………………………………………………………………………………………..4</w:t>
      </w:r>
    </w:p>
    <w:p>
      <w:pPr>
        <w:pStyle w:val="Spistreci1"/>
        <w:numPr>
          <w:ilvl w:val="0"/>
          <w:numId w:val="0"/>
        </w:numPr>
        <w:tabs>
          <w:tab w:val="clear" w:pos="708"/>
          <w:tab w:val="right" w:pos="10488" w:leader="dot"/>
        </w:tabs>
        <w:ind w:left="1080" w:hanging="720"/>
        <w:rPr/>
      </w:pPr>
      <w:r>
        <w:rPr>
          <w:rFonts w:cs="Times New Roman" w:ascii="Times New Roman" w:hAnsi="Times New Roman"/>
        </w:rPr>
        <w:t>I             Charakterystyka LGD………………………………...……………………………………………..5</w:t>
      </w:r>
    </w:p>
    <w:p>
      <w:pPr>
        <w:pStyle w:val="Spistreci2"/>
        <w:tabs>
          <w:tab w:val="clear" w:pos="708"/>
          <w:tab w:val="right" w:pos="10488" w:leader="dot"/>
        </w:tabs>
        <w:ind w:left="360" w:hanging="0"/>
        <w:rPr>
          <w:rFonts w:ascii="Times New Roman" w:hAnsi="Times New Roman" w:cs="Times New Roman"/>
        </w:rPr>
      </w:pPr>
      <w:r>
        <w:rPr>
          <w:rFonts w:cs="Times New Roman" w:ascii="Times New Roman" w:hAnsi="Times New Roman"/>
        </w:rPr>
        <w:t>II            Partycypacyjny charakter LSR ……………………………………………………………………..7</w:t>
      </w:r>
    </w:p>
    <w:p>
      <w:pPr>
        <w:pStyle w:val="Spistreci1"/>
        <w:numPr>
          <w:ilvl w:val="0"/>
          <w:numId w:val="0"/>
        </w:numPr>
        <w:tabs>
          <w:tab w:val="clear" w:pos="708"/>
          <w:tab w:val="right" w:pos="10488" w:leader="dot"/>
        </w:tabs>
        <w:ind w:left="360" w:hanging="0"/>
        <w:rPr/>
      </w:pPr>
      <w:r>
        <w:rPr>
          <w:rFonts w:cs="Times New Roman" w:ascii="Times New Roman" w:hAnsi="Times New Roman"/>
        </w:rPr>
        <w:t>III           Diagnoza – opis obszaru i ludności…………..……………………………………………………11</w:t>
      </w:r>
    </w:p>
    <w:tbl>
      <w:tblPr>
        <w:tblW w:w="10085" w:type="dxa"/>
        <w:jc w:val="left"/>
        <w:tblInd w:w="8" w:type="dxa"/>
        <w:tblLayout w:type="fixed"/>
        <w:tblCellMar>
          <w:top w:w="0" w:type="dxa"/>
          <w:left w:w="108" w:type="dxa"/>
          <w:bottom w:w="0" w:type="dxa"/>
          <w:right w:w="108" w:type="dxa"/>
        </w:tblCellMar>
      </w:tblPr>
      <w:tblGrid>
        <w:gridCol w:w="735"/>
        <w:gridCol w:w="44"/>
        <w:gridCol w:w="8739"/>
        <w:gridCol w:w="567"/>
      </w:tblGrid>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IV</w:t>
            </w:r>
          </w:p>
        </w:tc>
        <w:tc>
          <w:tcPr>
            <w:tcW w:w="9306" w:type="dxa"/>
            <w:gridSpan w:val="2"/>
            <w:tcBorders/>
          </w:tcPr>
          <w:p>
            <w:pPr>
              <w:pStyle w:val="Normal"/>
              <w:tabs>
                <w:tab w:val="clear" w:pos="708"/>
                <w:tab w:val="left" w:pos="612" w:leader="none"/>
              </w:tabs>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Analiza SWOT ……………………………………………………………………...……………..30</w:t>
            </w:r>
          </w:p>
        </w:tc>
      </w:tr>
      <w:tr>
        <w:trPr>
          <w:trHeight w:val="87" w:hRule="atLeast"/>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V</w:t>
            </w:r>
          </w:p>
        </w:tc>
        <w:tc>
          <w:tcPr>
            <w:tcW w:w="9306" w:type="dxa"/>
            <w:gridSpan w:val="2"/>
            <w:tcBorders/>
          </w:tcPr>
          <w:p>
            <w:pPr>
              <w:pStyle w:val="Normal"/>
              <w:tabs>
                <w:tab w:val="clear" w:pos="708"/>
                <w:tab w:val="left" w:pos="612" w:leader="none"/>
              </w:tabs>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Cele i wskaźniki …………………………………………………………………….……...……...31</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VI</w:t>
            </w:r>
          </w:p>
        </w:tc>
        <w:tc>
          <w:tcPr>
            <w:tcW w:w="9306" w:type="dxa"/>
            <w:gridSpan w:val="2"/>
            <w:tcBorders/>
          </w:tcPr>
          <w:p>
            <w:pPr>
              <w:pStyle w:val="Normal"/>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Sposób oceny i wyboru operacji oraz sposób ustanawiania kryteriów wyboru ……………….....42</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VII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Plan działania ………………………………………………………………………….…………..50</w:t>
            </w:r>
          </w:p>
        </w:tc>
      </w:tr>
      <w:tr>
        <w:trPr/>
        <w:tc>
          <w:tcPr>
            <w:tcW w:w="779" w:type="dxa"/>
            <w:gridSpan w:val="2"/>
            <w:tcBorders/>
          </w:tcPr>
          <w:p>
            <w:pPr>
              <w:pStyle w:val="Normal"/>
              <w:snapToGrid w:val="false"/>
              <w:spacing w:lineRule="auto" w:line="276" w:before="0" w:after="113"/>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VIII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Budżet LSR …………………………………………………………………………….………….50</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IX</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Plan komunikacji ……………………………………………………………………...…………..51</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X</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Zintegrowanie ……………………………………………………………………….….…………52</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XI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Monitoring i ewaluacja ……………………………………………………………..….………….56</w:t>
            </w:r>
          </w:p>
        </w:tc>
      </w:tr>
      <w:tr>
        <w:trPr/>
        <w:tc>
          <w:tcPr>
            <w:tcW w:w="779" w:type="dxa"/>
            <w:gridSpan w:val="2"/>
            <w:tcBorders/>
          </w:tcPr>
          <w:p>
            <w:pPr>
              <w:pStyle w:val="Normal"/>
              <w:snapToGrid w:val="false"/>
              <w:spacing w:lineRule="auto" w:line="276" w:before="0" w:after="113"/>
              <w:rPr/>
            </w:pPr>
            <w:r>
              <w:rPr>
                <w:rFonts w:eastAsia="Times New Roman" w:cs="Times New Roman" w:ascii="Times New Roman" w:hAnsi="Times New Roman"/>
              </w:rPr>
              <w:t xml:space="preserve">    </w:t>
            </w:r>
            <w:r>
              <w:rPr>
                <w:rFonts w:cs="Times New Roman" w:ascii="Times New Roman" w:hAnsi="Times New Roman"/>
              </w:rPr>
              <w:t>XII</w:t>
            </w:r>
          </w:p>
        </w:tc>
        <w:tc>
          <w:tcPr>
            <w:tcW w:w="9306" w:type="dxa"/>
            <w:gridSpan w:val="2"/>
            <w:tcBorders/>
          </w:tcPr>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Strategiczna ocena oddziaływania na środowisko ………………………………….….………….57</w:t>
            </w:r>
          </w:p>
          <w:p>
            <w:pPr>
              <w:pStyle w:val="Normal"/>
              <w:snapToGrid w:val="false"/>
              <w:spacing w:lineRule="auto" w:line="276" w:before="0" w:after="113"/>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Wykaz literatury………………………………………………………………………….............59</w:t>
            </w:r>
          </w:p>
        </w:tc>
      </w:tr>
      <w:tr>
        <w:trPr/>
        <w:tc>
          <w:tcPr>
            <w:tcW w:w="9518" w:type="dxa"/>
            <w:gridSpan w:val="3"/>
            <w:tcBorders/>
          </w:tcPr>
          <w:p>
            <w:pPr>
              <w:pStyle w:val="Normal"/>
              <w:snapToGrid w:val="false"/>
              <w:spacing w:lineRule="auto" w:line="276" w:before="0" w:after="113"/>
              <w:rPr>
                <w:rFonts w:ascii="Times New Roman" w:hAnsi="Times New Roman" w:cs="Times New Roman"/>
                <w:b/>
                <w:b/>
              </w:rPr>
            </w:pPr>
            <w:r>
              <w:rPr>
                <w:rFonts w:cs="Times New Roman" w:ascii="Times New Roman" w:hAnsi="Times New Roman"/>
                <w:b/>
              </w:rPr>
            </w:r>
          </w:p>
          <w:p>
            <w:pPr>
              <w:pStyle w:val="Normal"/>
              <w:snapToGrid w:val="false"/>
              <w:spacing w:lineRule="auto" w:line="276" w:before="0" w:after="113"/>
              <w:rPr>
                <w:rFonts w:ascii="Times New Roman" w:hAnsi="Times New Roman" w:cs="Times New Roman"/>
                <w:b/>
                <w:b/>
              </w:rPr>
            </w:pPr>
            <w:r>
              <w:rPr>
                <w:rFonts w:cs="Times New Roman" w:ascii="Times New Roman" w:hAnsi="Times New Roman"/>
                <w:b/>
              </w:rPr>
              <w:t>Załączniki do LSR</w:t>
            </w:r>
          </w:p>
        </w:tc>
        <w:tc>
          <w:tcPr>
            <w:tcW w:w="567" w:type="dxa"/>
            <w:tcBorders/>
            <w:tcMar>
              <w:left w:w="0" w:type="dxa"/>
              <w:right w:w="0" w:type="dxa"/>
            </w:tcMar>
          </w:tcPr>
          <w:p>
            <w:pPr>
              <w:pStyle w:val="Normal"/>
              <w:snapToGrid w:val="false"/>
              <w:spacing w:before="0" w:after="160"/>
              <w:rPr>
                <w:rFonts w:ascii="Times New Roman" w:hAnsi="Times New Roman" w:cs="Times New Roman"/>
                <w:b/>
                <w:b/>
              </w:rPr>
            </w:pPr>
            <w:r>
              <w:rPr>
                <w:rFonts w:cs="Times New Roman" w:ascii="Times New Roman" w:hAnsi="Times New Roman"/>
                <w:b/>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1</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Procedura aktualizacji LSR ……………………………………………………………………60</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2</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Procedury dokonywania ewaluacji i monitoringu ……………………………..…………..….61</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3</w:t>
            </w:r>
          </w:p>
        </w:tc>
        <w:tc>
          <w:tcPr>
            <w:tcW w:w="8783" w:type="dxa"/>
            <w:gridSpan w:val="2"/>
            <w:tcBorders/>
          </w:tcPr>
          <w:p>
            <w:pPr>
              <w:pStyle w:val="Normal"/>
              <w:snapToGrid w:val="false"/>
              <w:spacing w:lineRule="auto" w:line="276" w:before="0" w:after="113"/>
              <w:jc w:val="both"/>
              <w:rPr>
                <w:rFonts w:ascii="Times New Roman" w:hAnsi="Times New Roman" w:cs="Times New Roman"/>
              </w:rPr>
            </w:pPr>
            <w:r>
              <w:rPr>
                <w:rFonts w:cs="Times New Roman" w:ascii="Times New Roman" w:hAnsi="Times New Roman"/>
              </w:rPr>
              <w:t>Plan działania wskazujący harmonogram osiągania poszczególnych wskaźników prod…..…71</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4</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Budżet LSR w podziale na poszczególne fundusze EFSI i zakresy wsparcia …………….....73</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r>
        <w:trPr/>
        <w:tc>
          <w:tcPr>
            <w:tcW w:w="735" w:type="dxa"/>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5</w:t>
            </w:r>
          </w:p>
        </w:tc>
        <w:tc>
          <w:tcPr>
            <w:tcW w:w="8783" w:type="dxa"/>
            <w:gridSpan w:val="2"/>
            <w:tcBorders/>
          </w:tcPr>
          <w:p>
            <w:pPr>
              <w:pStyle w:val="Normal"/>
              <w:snapToGrid w:val="false"/>
              <w:spacing w:lineRule="auto" w:line="276" w:before="0" w:after="113"/>
              <w:rPr>
                <w:rFonts w:ascii="Times New Roman" w:hAnsi="Times New Roman" w:cs="Times New Roman"/>
              </w:rPr>
            </w:pPr>
            <w:r>
              <w:rPr>
                <w:rFonts w:cs="Times New Roman" w:ascii="Times New Roman" w:hAnsi="Times New Roman"/>
              </w:rPr>
              <w:t>Plan komunikacji ………………………………………………………………………….…..74</w:t>
            </w:r>
          </w:p>
          <w:p>
            <w:pPr>
              <w:pStyle w:val="Normal"/>
              <w:snapToGrid w:val="false"/>
              <w:spacing w:lineRule="auto" w:line="276" w:before="0" w:after="113"/>
              <w:rPr>
                <w:rFonts w:ascii="Times New Roman" w:hAnsi="Times New Roman" w:eastAsia="Times New Roman" w:cs="Times New Roman"/>
              </w:rPr>
            </w:pPr>
            <w:r>
              <w:rPr>
                <w:rFonts w:eastAsia="Times New Roman" w:cs="Times New Roman" w:ascii="Times New Roman" w:hAnsi="Times New Roman"/>
              </w:rPr>
              <w:t xml:space="preserve"> </w:t>
            </w:r>
          </w:p>
        </w:tc>
        <w:tc>
          <w:tcPr>
            <w:tcW w:w="567" w:type="dxa"/>
            <w:tcBorders/>
            <w:tcMar>
              <w:left w:w="0" w:type="dxa"/>
              <w:right w:w="0" w:type="dxa"/>
            </w:tcMar>
          </w:tcPr>
          <w:p>
            <w:pPr>
              <w:pStyle w:val="Normal"/>
              <w:snapToGrid w:val="false"/>
              <w:spacing w:before="0" w:after="160"/>
              <w:rPr>
                <w:rFonts w:ascii="Times New Roman" w:hAnsi="Times New Roman" w:cs="Times New Roman"/>
              </w:rPr>
            </w:pPr>
            <w:r>
              <w:rPr>
                <w:rFonts w:cs="Times New Roman" w:ascii="Times New Roman" w:hAnsi="Times New Roman"/>
              </w:rPr>
            </w:r>
          </w:p>
        </w:tc>
      </w:tr>
    </w:tbl>
    <w:p>
      <w:pPr>
        <w:pStyle w:val="Normal"/>
        <w:rPr/>
      </w:pPr>
      <w:r>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r>
    </w:p>
    <w:p>
      <w:pPr>
        <w:pStyle w:val="Normal"/>
        <w:keepNext w:val="true"/>
        <w:keepLines/>
        <w:numPr>
          <w:ilvl w:val="0"/>
          <w:numId w:val="0"/>
        </w:numPr>
        <w:pBdr>
          <w:left w:val="single" w:sz="12" w:space="7" w:color="ED7D31"/>
        </w:pBdr>
        <w:spacing w:lineRule="auto" w:line="240" w:before="120" w:after="120"/>
        <w:jc w:val="both"/>
        <w:outlineLvl w:val="0"/>
        <w:rPr>
          <w:rFonts w:ascii="Times New Roman" w:hAnsi="Times New Roman" w:eastAsia="Times New Roman" w:cs="Times New Roman"/>
          <w:b/>
          <w:b/>
          <w:caps/>
          <w:spacing w:val="10"/>
          <w:sz w:val="24"/>
          <w:szCs w:val="24"/>
        </w:rPr>
      </w:pPr>
      <w:r>
        <w:rPr>
          <w:rFonts w:eastAsia="Times New Roman" w:cs="Times New Roman" w:ascii="Times New Roman" w:hAnsi="Times New Roman"/>
          <w:b/>
          <w:caps/>
          <w:spacing w:val="10"/>
          <w:sz w:val="24"/>
          <w:szCs w:val="24"/>
        </w:rPr>
        <w:t>Słownik pojęć:</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EFRR – Europejski Fundusz Rozwoju Regionalnego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EFRROW – Europejski Fundusz Rolny na rzecz Rozwoju Obszarów Wiejskich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EFS – Europejski Fundusz Społeczny </w:t>
      </w:r>
    </w:p>
    <w:p>
      <w:pPr>
        <w:pStyle w:val="Normal"/>
        <w:spacing w:lineRule="auto" w:line="240" w:before="0" w:after="0"/>
        <w:contextualSpacing/>
        <w:jc w:val="both"/>
        <w:rPr/>
      </w:pPr>
      <w:r>
        <w:rPr>
          <w:rFonts w:cs="Times New Roman" w:ascii="Times New Roman" w:hAnsi="Times New Roman"/>
          <w:sz w:val="24"/>
        </w:rPr>
        <w:t xml:space="preserve">EFSI – Europejskie Fundusze Strukturalne i Inwestycyjne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LEADER – działanie LEADER w PROW 2014-2020 </w:t>
      </w:r>
    </w:p>
    <w:p>
      <w:pPr>
        <w:pStyle w:val="Normal"/>
        <w:spacing w:lineRule="auto" w:line="240" w:before="0" w:after="0"/>
        <w:contextualSpacing/>
        <w:jc w:val="both"/>
        <w:rPr>
          <w:rFonts w:ascii="Times New Roman" w:hAnsi="Times New Roman" w:cs="Times New Roman"/>
          <w:sz w:val="24"/>
          <w:lang w:val="en-US"/>
        </w:rPr>
      </w:pPr>
      <w:r>
        <w:rPr>
          <w:rFonts w:cs="Times New Roman" w:ascii="Times New Roman" w:hAnsi="Times New Roman"/>
          <w:sz w:val="24"/>
          <w:lang w:val="en-US"/>
        </w:rPr>
        <w:t xml:space="preserve">Leader – Program LEADRE Leader w PROW 2007-2013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LGD CIW - Lokalna Grupa Działania Centrum Inicjatyw Wiejskich  </w:t>
      </w:r>
    </w:p>
    <w:p>
      <w:pPr>
        <w:pStyle w:val="Normal"/>
        <w:spacing w:lineRule="auto" w:line="240" w:before="0" w:after="0"/>
        <w:contextualSpacing/>
        <w:jc w:val="both"/>
        <w:rPr/>
      </w:pPr>
      <w:r>
        <w:rPr>
          <w:rFonts w:cs="Times New Roman" w:ascii="Times New Roman" w:hAnsi="Times New Roman"/>
          <w:sz w:val="24"/>
        </w:rPr>
        <w:t xml:space="preserve">LSR LGD Centrum Inicjatyw Wiejskich – Lokalna Strategia Rozwoju Lokalnej Grupy Działania Centrum Inicjatyw Wiejskich.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OW – operacja własna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PG – projekt grantowy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PROW 2014-2020 – Program Rozwoju Obszarów Wiejskich na lata 2014-2020</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RLKS – rozwój lokalny kierowany przez społeczność, w przypadku EFRROW jest to działanie LEADER</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IDI – Individual in – Depth Interview – indywidualny wywiad pogłębiony, badanie jakościowe</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WC – World Café – metoda partycypacji społecznej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DR – Desk research – analiza danych zastanych</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FGI – Focus Group Interview – zogniskowany wywiad grupowy, badanie jakościowe</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PA – Participatory Appraisal metoda partycypacji społecznej</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GR – Grupa Robocza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GR 1 – Grupa Robocza ds. Budowy Strategii, metoda partycypacji społecznej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GR 2 – Grupa Robocza ds. Rady i Kryteriów Oceny, metoda partycypacji społecznej</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KS – Konsultacje społeczne – metoda partycypacji społecznej</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SWOT – Analiza czynników (S strenghts – silne strony, W weaknesses – słabe strony, O opportunities – szanse i T threats – zagrożenia)</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Rozporządzenie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Rozporządzenie 1305/2013 – rozporządzenie Parlamentu Europejskiego i Rady (UE) nr 1305/2013 z dnia 17 grudnia 2013 r. w sprawie wsparcia rozwoju obszarów wiejskich przez Europejski Fundusz Rolny na rzecz Rozwoju Obszarów Wiejskich (EFRROW) i uchylające 4 Rozporządzenie Rady (WE) nr 1698/2005 (Dz. Urz. UE L 347 z 20.12.2013 r., str. 487, z późn. zm.)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RPO WZ – Regionalny Program Operacyjny Województwa Zachodniopomorskiego</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SW – Samorząd Województwa, reprezentowany przez Zarząd Województwa </w:t>
      </w:r>
    </w:p>
    <w:p>
      <w:pPr>
        <w:pStyle w:val="Normal"/>
        <w:spacing w:lineRule="auto" w:line="240" w:before="0" w:after="0"/>
        <w:contextualSpacing/>
        <w:jc w:val="both"/>
        <w:rPr>
          <w:rFonts w:ascii="Times New Roman" w:hAnsi="Times New Roman" w:cs="Times New Roman"/>
          <w:sz w:val="24"/>
        </w:rPr>
      </w:pPr>
      <w:r>
        <w:rPr>
          <w:rFonts w:cs="Times New Roman" w:ascii="Times New Roman" w:hAnsi="Times New Roman"/>
          <w:sz w:val="24"/>
        </w:rPr>
        <w:t xml:space="preserve">Ustawa o rozwoju lokalnym – ustawa z dnia 20 lutego 2015 r. o rozwoju lokalnym z udziałem lokalnej społeczności (Dz. U. poz. 378) </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rPr>
        <w:t>WZC – walne zebranie członków</w:t>
      </w:r>
    </w:p>
    <w:p>
      <w:pPr>
        <w:pStyle w:val="Normal"/>
        <w:spacing w:lineRule="auto" w:line="276" w:before="0" w:after="20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lang w:eastAsia="pl-PL"/>
        </w:rPr>
      </w:pPr>
      <w:r>
        <w:rPr>
          <w:rFonts w:cs="Times New Roman" w:ascii="Times New Roman" w:hAnsi="Times New Roman"/>
          <w:b/>
          <w:sz w:val="24"/>
          <w:szCs w:val="24"/>
        </w:rPr>
        <w:t>I.  CHARAKTERYSTYKA LGD CENTRUM INICJATYW WIEJSKICH</w:t>
      </w:r>
    </w:p>
    <w:p>
      <w:pPr>
        <w:pStyle w:val="Bezodstpw"/>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Bezodstpw"/>
        <w:numPr>
          <w:ilvl w:val="0"/>
          <w:numId w:val="23"/>
        </w:numPr>
        <w:jc w:val="both"/>
        <w:rPr>
          <w:rFonts w:ascii="Times New Roman" w:hAnsi="Times New Roman" w:cs="Times New Roman"/>
          <w:b/>
          <w:b/>
          <w:sz w:val="24"/>
          <w:szCs w:val="24"/>
        </w:rPr>
      </w:pPr>
      <w:r>
        <w:rPr>
          <w:rFonts w:cs="Times New Roman" w:ascii="Times New Roman" w:hAnsi="Times New Roman"/>
          <w:b/>
          <w:sz w:val="24"/>
          <w:szCs w:val="24"/>
        </w:rPr>
        <w:t>Forma prawna i nazwa stowarzyszenia:</w:t>
      </w:r>
    </w:p>
    <w:p>
      <w:pPr>
        <w:pStyle w:val="Bezodstpw"/>
        <w:jc w:val="both"/>
        <w:rPr/>
      </w:pPr>
      <w:r>
        <w:rPr>
          <w:rFonts w:cs="Times New Roman" w:ascii="Times New Roman" w:hAnsi="Times New Roman"/>
          <w:b/>
          <w:sz w:val="24"/>
          <w:szCs w:val="24"/>
        </w:rPr>
        <w:t>Forma prawną</w:t>
      </w:r>
      <w:r>
        <w:rPr>
          <w:rFonts w:cs="Times New Roman" w:ascii="Times New Roman" w:hAnsi="Times New Roman"/>
          <w:sz w:val="24"/>
          <w:szCs w:val="24"/>
        </w:rPr>
        <w:t xml:space="preserve"> partnerstwa, jakim jest lokalna grupa działania w okresie programowania 2014 – 2020, jest stowarzyszenie „specjalne” posiadające osobowość prawną i wpis do KRS. W stowarzyszeniu oprócz osób fizycznych członkami zwyczajnymi są osoby prawne, w tym jednostki samorządu terytorialnego powiatu łobeskiego, a nadzór nad nim sprawuje marszałek województwa zachodniopomorskiego. Stowarzyszenie może prowadzić działalność gospodarczą służącą realizacji LSR.</w:t>
      </w:r>
    </w:p>
    <w:p>
      <w:pPr>
        <w:pStyle w:val="Bezodstpw"/>
        <w:jc w:val="both"/>
        <w:rPr>
          <w:rFonts w:ascii="Times New Roman" w:hAnsi="Times New Roman" w:cs="Times New Roman"/>
          <w:sz w:val="24"/>
          <w:szCs w:val="24"/>
        </w:rPr>
      </w:pPr>
      <w:r>
        <w:rPr>
          <w:rFonts w:cs="Times New Roman" w:ascii="Times New Roman" w:hAnsi="Times New Roman"/>
          <w:sz w:val="24"/>
          <w:szCs w:val="24"/>
        </w:rPr>
        <w:t>W stowarzyszeniu obok walnego zebrania członków, zarządu oraz organu kontroli wewnętrznej funkcjonuje dodatkowy organ, jakim jest rada, która podejmuje decyzje w sprawie wyboru operacji realizowanych w ramach LSR.</w:t>
      </w:r>
    </w:p>
    <w:p>
      <w:pPr>
        <w:pStyle w:val="Bezodstpw"/>
        <w:jc w:val="both"/>
        <w:rPr/>
      </w:pPr>
      <w:r>
        <w:rPr>
          <w:rFonts w:cs="Times New Roman" w:ascii="Times New Roman" w:hAnsi="Times New Roman"/>
          <w:b/>
          <w:sz w:val="24"/>
          <w:szCs w:val="24"/>
        </w:rPr>
        <w:t>Nazwa Stowarzyszenia</w:t>
      </w:r>
      <w:r>
        <w:rPr>
          <w:rFonts w:cs="Times New Roman" w:ascii="Times New Roman" w:hAnsi="Times New Roman"/>
          <w:sz w:val="24"/>
          <w:szCs w:val="24"/>
        </w:rPr>
        <w:t xml:space="preserve"> Pełna nazwa Stowarzyszenia brzmi: CENTRUM INICJATYW WIEJSKICH, zwana w dalszej części LGD CENTRUM INICJATYW WIEJSKICH, nazwa skrócona: LGD CIW. Siedziba Stowarzyszenia mieści się w Łobzie, ul Drawska 6.</w:t>
      </w:r>
    </w:p>
    <w:p>
      <w:pPr>
        <w:pStyle w:val="Bezodstpw"/>
        <w:jc w:val="both"/>
        <w:rPr>
          <w:rFonts w:ascii="Times New Roman" w:hAnsi="Times New Roman" w:cs="Times New Roman"/>
          <w:sz w:val="24"/>
          <w:szCs w:val="24"/>
        </w:rPr>
      </w:pPr>
      <w:r>
        <w:rPr>
          <w:rFonts w:cs="Times New Roman" w:ascii="Times New Roman" w:hAnsi="Times New Roman"/>
          <w:sz w:val="24"/>
          <w:szCs w:val="24"/>
        </w:rPr>
        <w:t>Stowarzyszenie Lokalna Grupa Działania Centrum Inicjatyw Wiejskich zostało wpisane do Krajowego Rejestru Sądowego w dniu 06.05.2008 r., pod numerem 0000305390</w:t>
      </w:r>
    </w:p>
    <w:p>
      <w:pPr>
        <w:pStyle w:val="Bezodstpw"/>
        <w:jc w:val="both"/>
        <w:rPr>
          <w:rFonts w:ascii="Times New Roman" w:hAnsi="Times New Roman" w:cs="Times New Roman"/>
          <w:sz w:val="24"/>
          <w:szCs w:val="24"/>
        </w:rPr>
      </w:pPr>
      <w:r>
        <w:rPr>
          <w:rFonts w:cs="Times New Roman" w:ascii="Times New Roman" w:hAnsi="Times New Roman"/>
          <w:sz w:val="24"/>
          <w:szCs w:val="24"/>
        </w:rPr>
      </w:r>
    </w:p>
    <w:p>
      <w:pPr>
        <w:pStyle w:val="Bezodstpw"/>
        <w:numPr>
          <w:ilvl w:val="0"/>
          <w:numId w:val="18"/>
        </w:numPr>
        <w:jc w:val="both"/>
        <w:rPr>
          <w:rFonts w:ascii="Times New Roman" w:hAnsi="Times New Roman" w:cs="Times New Roman"/>
          <w:b/>
          <w:b/>
          <w:sz w:val="24"/>
          <w:szCs w:val="24"/>
        </w:rPr>
      </w:pPr>
      <w:r>
        <w:rPr>
          <w:rFonts w:cs="Times New Roman" w:ascii="Times New Roman" w:hAnsi="Times New Roman"/>
          <w:b/>
          <w:sz w:val="24"/>
          <w:szCs w:val="24"/>
        </w:rPr>
        <w:t>Opis obszaru</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Lokalna Strategia Rozwoju przygotowana przez LGD Centrum Inicjatyw Wiejskich obejmować będzie obszar pięciu gmin: Łobez, Dobra, resko, Radowo Małe, Węgorzyno.  Jest to obszar powiatu łobeskiego, który na dzień 31.12.2013 zamieszkiwało 37.966 osób.    </w:t>
      </w:r>
    </w:p>
    <w:p>
      <w:pPr>
        <w:pStyle w:val="Bezodstpw"/>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Bezodstpw"/>
        <w:jc w:val="center"/>
        <w:rPr>
          <w:rFonts w:ascii="Times New Roman" w:hAnsi="Times New Roman" w:cs="Times New Roman"/>
          <w:i/>
          <w:i/>
          <w:sz w:val="24"/>
          <w:szCs w:val="24"/>
          <w:lang w:val="pl-PL" w:eastAsia="pl-PL"/>
        </w:rPr>
      </w:pPr>
      <w:r>
        <w:rPr>
          <w:rFonts w:cs="Times New Roman" w:ascii="Times New Roman" w:hAnsi="Times New Roman"/>
          <w:sz w:val="24"/>
          <w:szCs w:val="24"/>
          <w:lang w:val="pl-PL" w:eastAsia="pl-PL"/>
        </w:rPr>
        <w:drawing>
          <wp:inline distT="0" distB="0" distL="0" distR="0">
            <wp:extent cx="3602355" cy="3739515"/>
            <wp:effectExtent l="0" t="0" r="0" b="0"/>
            <wp:docPr id="6"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 descr=""/>
                    <pic:cNvPicPr>
                      <a:picLocks noChangeAspect="1" noChangeArrowheads="1"/>
                    </pic:cNvPicPr>
                  </pic:nvPicPr>
                  <pic:blipFill>
                    <a:blip r:embed="rId7"/>
                    <a:srcRect l="-30" t="-28" r="-30" b="-28"/>
                    <a:stretch>
                      <a:fillRect/>
                    </a:stretch>
                  </pic:blipFill>
                  <pic:spPr bwMode="auto">
                    <a:xfrm>
                      <a:off x="0" y="0"/>
                      <a:ext cx="3602355" cy="3739515"/>
                    </a:xfrm>
                    <a:prstGeom prst="rect">
                      <a:avLst/>
                    </a:prstGeom>
                  </pic:spPr>
                </pic:pic>
              </a:graphicData>
            </a:graphic>
          </wp:inline>
        </w:drawing>
      </w:r>
    </w:p>
    <w:p>
      <w:pPr>
        <w:pStyle w:val="Bezodstpw"/>
        <w:jc w:val="both"/>
        <w:rPr>
          <w:rFonts w:ascii="Times New Roman" w:hAnsi="Times New Roman" w:cs="Times New Roman"/>
          <w:i/>
          <w:i/>
          <w:sz w:val="24"/>
          <w:szCs w:val="24"/>
          <w:lang w:val="pl-PL" w:eastAsia="pl-PL"/>
        </w:rPr>
      </w:pPr>
      <w:r>
        <w:rPr>
          <w:rFonts w:cs="Times New Roman" w:ascii="Times New Roman" w:hAnsi="Times New Roman"/>
          <w:i/>
          <w:sz w:val="24"/>
          <w:szCs w:val="24"/>
          <w:lang w:val="pl-PL" w:eastAsia="pl-PL"/>
        </w:rPr>
      </w:r>
    </w:p>
    <w:p>
      <w:pPr>
        <w:pStyle w:val="Bezodstpw"/>
        <w:numPr>
          <w:ilvl w:val="0"/>
          <w:numId w:val="18"/>
        </w:numPr>
        <w:jc w:val="both"/>
        <w:rPr>
          <w:rFonts w:ascii="Times New Roman" w:hAnsi="Times New Roman" w:cs="Times New Roman"/>
          <w:i/>
          <w:i/>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Potencjał LGD</w:t>
      </w:r>
    </w:p>
    <w:p>
      <w:pPr>
        <w:pStyle w:val="Bezodstpw"/>
        <w:jc w:val="both"/>
        <w:rPr>
          <w:rFonts w:ascii="Times New Roman" w:hAnsi="Times New Roman" w:cs="Times New Roman"/>
          <w:b/>
          <w:b/>
          <w:sz w:val="24"/>
          <w:szCs w:val="24"/>
        </w:rPr>
      </w:pPr>
      <w:r>
        <w:rPr>
          <w:rFonts w:cs="Times New Roman" w:ascii="Times New Roman" w:hAnsi="Times New Roman"/>
          <w:b/>
          <w:sz w:val="24"/>
          <w:szCs w:val="24"/>
        </w:rPr>
        <w:t>Opis procesu tworzenia partnerstwa</w:t>
      </w:r>
    </w:p>
    <w:p>
      <w:pPr>
        <w:pStyle w:val="Bezodstpw"/>
        <w:jc w:val="both"/>
        <w:rPr>
          <w:rFonts w:ascii="Times New Roman" w:hAnsi="Times New Roman" w:cs="Times New Roman"/>
          <w:sz w:val="24"/>
          <w:szCs w:val="24"/>
        </w:rPr>
      </w:pPr>
      <w:r>
        <w:rPr>
          <w:rFonts w:cs="Times New Roman" w:ascii="Times New Roman" w:hAnsi="Times New Roman"/>
          <w:sz w:val="24"/>
          <w:szCs w:val="24"/>
        </w:rPr>
        <w:t>Stowarzyszenie, jako Lokalna Grupa Działania jest partnerstwem trójsektorowym, składającym się z przedstawicieli sektora publicznego, gospodarczego i społecznego, partnerstwem publiczno-prywatnym w rozumieniu rozporządzenia Parlamentu Europejskiego i Rady (UE) nr 1305/2013 z dnia 17 grudnia 2013 r. w sprawie wsparcia rozwoju obszarów wiejskich przez Europejski Fundusz Rolny na rzecz Rozwoju Obszarów Wiejskich (EFRROW) i uchylającego rozporządzenia Rady (WE) nr 1698/2005 (Dz. Urz. UE L 347 z 20.12.2013 r., str. 487).</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Stowarzyszenie jest partnerstwem na rzecz wzrostu zatrudnienia i spójności społecznej. Celem Stowarzyszenia jako Lokalnej Grupy Działania (LGD), jest działanie na rzecz zrównoważonego rozwoju obszarów wiejskich gmin wchodzących w skład LGD Centrum Inicjatyw Wiejskich, a w szczególności: </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Aktywizowanie ludności wiejskiej,</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Realizacja Lokalnej Strategii Rozwoju opracowanej przez Lokalną Grupę Działania,</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Promocja obszarów wiejskich w zakresie rozwoju turystyki, gospodarki, kultury i sportu,</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Upowszechnianie i wymiana informacji o inicjatywach związanych z aktywizacją ludności na obszarach wiejskich,</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Stymulowanie i wspieranie lokalnych i regionalnych inicjatyw społeczno-gospodarczych,</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Wspomaganie inicjatyw lokalnych i regionalnych w zakresie rozwoju myśli naukowo – technicznej oraz informacji, doradztwa i szkolenia,</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Wspieranie przedsięwzięć gospodarczych, kulturalnych i oświatowych mających na celu rozwój i aktywizowanie gmin,</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Skupianie wokół idei Stowarzyszenia osób zainteresowanych rozwojem gmin i regionu, inicjatywami w dziedzinie przedsiębiorczości, zgodnych z lokalnymi i regionalnymi potrzebami,</w:t>
      </w:r>
    </w:p>
    <w:p>
      <w:pPr>
        <w:pStyle w:val="Bezodstpw"/>
        <w:numPr>
          <w:ilvl w:val="0"/>
          <w:numId w:val="29"/>
        </w:numPr>
        <w:jc w:val="both"/>
        <w:rPr>
          <w:rFonts w:ascii="Times New Roman" w:hAnsi="Times New Roman" w:cs="Times New Roman"/>
          <w:sz w:val="24"/>
          <w:szCs w:val="24"/>
        </w:rPr>
      </w:pPr>
      <w:r>
        <w:rPr>
          <w:rFonts w:cs="Times New Roman" w:ascii="Times New Roman" w:hAnsi="Times New Roman"/>
          <w:sz w:val="24"/>
          <w:szCs w:val="24"/>
        </w:rPr>
        <w:t>Wspieranie działalności naukowej, naukowo – technicznej, oświatowej, kulturalnej w zakresie kultury fizycznej i sportu, ochrony środowiska i pomocy społecznej, rehabilitacji i integracji zawodowej i społecznej osób niepełnosprawnych.</w:t>
      </w:r>
    </w:p>
    <w:p>
      <w:pPr>
        <w:pStyle w:val="Bezodstpw"/>
        <w:jc w:val="both"/>
        <w:rPr>
          <w:rFonts w:ascii="Times New Roman" w:hAnsi="Times New Roman" w:cs="Times New Roman"/>
          <w:sz w:val="24"/>
          <w:szCs w:val="24"/>
        </w:rPr>
      </w:pPr>
      <w:r>
        <w:rPr>
          <w:rFonts w:cs="Times New Roman" w:ascii="Times New Roman" w:hAnsi="Times New Roman"/>
          <w:sz w:val="24"/>
          <w:szCs w:val="24"/>
        </w:rPr>
        <w:t>Lokalna Grupa Działania Centrum Inicjatyw Wiejskich powstała w 2008 roku w celu realizacji LSR w okresie programowania 2007 – 2013 na podstawie umowy o warunkach i sposobie realizacji, na obszarze pięciu gmin powiatu łobeskiego.</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Osoby i podmioty, które były członkami  LGD Centrum Inicjatyw Wiejskich w okresie programowania 2007 – 2013 aktualnie nadal są jej członkami. </w:t>
      </w:r>
    </w:p>
    <w:p>
      <w:pPr>
        <w:pStyle w:val="Bezodstpw"/>
        <w:jc w:val="both"/>
        <w:rPr>
          <w:rFonts w:ascii="Times New Roman" w:hAnsi="Times New Roman" w:cs="Times New Roman"/>
          <w:sz w:val="24"/>
          <w:szCs w:val="24"/>
        </w:rPr>
      </w:pPr>
      <w:r>
        <w:rPr>
          <w:rFonts w:cs="Times New Roman" w:ascii="Times New Roman" w:hAnsi="Times New Roman"/>
          <w:sz w:val="24"/>
          <w:szCs w:val="24"/>
        </w:rPr>
        <w:t>W celu przystąpienia do opracowania i realizacji nowej LSR na okres 2014-2020 wszystkie gminy solidarnie podpisały List Intencyjny w maju 2015 roku, w którym zadeklarowały dalszą współpracę w ramach LGD.</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W skład Zarządu LGD Centrum Inicjatyw Wiejskich wchodzi dwanaście osób z pięciu gmin członkowskich. Zarząd posiada doświadczenie w realizacji LSR, wdrażając  na swoim obszarze środki w ramach podejścia  LEADER programu PROW 2007-2013, co jest niezbędne do zarządzania LGD w nowym okresie programowania. Ogółem, dzięki pozyskanym dotacjom, o które ubiegali się przedstawiciele trzech sektorów, obszar tych pięciu gmin doinwestowany został kwotą ponad 3.157.000,00 zł. Środki te przyczyniły się do podniesienia atrakcyjności obszaru, rozwoju infrastruktury sportowej i rekreacyjnej, rozwoju działalności gospodarczych i wzrostu zatrudnienia oraz do podniesienia jakości życia mieszkańców. </w:t>
      </w:r>
    </w:p>
    <w:p>
      <w:pPr>
        <w:pStyle w:val="Bezodstpw"/>
        <w:jc w:val="both"/>
        <w:rPr>
          <w:rFonts w:ascii="Times New Roman" w:hAnsi="Times New Roman" w:cs="Times New Roman"/>
          <w:sz w:val="24"/>
          <w:szCs w:val="24"/>
        </w:rPr>
      </w:pPr>
      <w:r>
        <w:rPr>
          <w:rFonts w:cs="Times New Roman" w:ascii="Times New Roman" w:hAnsi="Times New Roman"/>
          <w:sz w:val="24"/>
          <w:szCs w:val="24"/>
        </w:rPr>
      </w:r>
    </w:p>
    <w:p>
      <w:pPr>
        <w:pStyle w:val="Bezodstpw"/>
        <w:numPr>
          <w:ilvl w:val="0"/>
          <w:numId w:val="18"/>
        </w:numPr>
        <w:jc w:val="both"/>
        <w:rPr/>
      </w:pPr>
      <w:r>
        <w:rPr>
          <w:rFonts w:cs="Times New Roman" w:ascii="Times New Roman" w:hAnsi="Times New Roman"/>
          <w:b/>
          <w:sz w:val="24"/>
          <w:szCs w:val="24"/>
        </w:rPr>
        <w:t>Opis struktury LGD i charakterystyka członków</w:t>
      </w:r>
    </w:p>
    <w:p>
      <w:pPr>
        <w:pStyle w:val="Bezodstpw"/>
        <w:jc w:val="both"/>
        <w:rPr/>
      </w:pPr>
      <w:r>
        <w:rPr>
          <w:rFonts w:cs="Times New Roman" w:ascii="Times New Roman" w:hAnsi="Times New Roman"/>
          <w:sz w:val="24"/>
          <w:szCs w:val="24"/>
        </w:rPr>
        <w:t>LGD jest partnerstwem trójsektorowym. Budowanie takiego partnerstwa oraz tworzenie strategii polega na stopniowym włączaniu nowych grup interesów, środowisk społecznych i zawodowych.</w:t>
      </w:r>
    </w:p>
    <w:p>
      <w:pPr>
        <w:pStyle w:val="Bezodstpw"/>
        <w:jc w:val="both"/>
        <w:rPr>
          <w:rFonts w:ascii="Times New Roman" w:hAnsi="Times New Roman" w:cs="Times New Roman"/>
          <w:sz w:val="24"/>
          <w:szCs w:val="24"/>
        </w:rPr>
      </w:pPr>
      <w:r>
        <w:rPr>
          <w:rFonts w:cs="Times New Roman" w:ascii="Times New Roman" w:hAnsi="Times New Roman"/>
          <w:sz w:val="24"/>
          <w:szCs w:val="24"/>
        </w:rPr>
        <w:t>Na dzień 08.12.2015 r.  LGD Centrum Inicjatyw Wiejskich liczy 151 członków. W skład LGD wchodzi 6 podmiotów reprezentujących sektor publiczny. Są to gminy: Łobez, Dobra, Radowo Małe, Resko, Węgorzyno oraz Powiat Łobeski.</w:t>
      </w:r>
    </w:p>
    <w:p>
      <w:pPr>
        <w:pStyle w:val="Bezodstpw"/>
        <w:jc w:val="both"/>
        <w:rPr>
          <w:rFonts w:ascii="Times New Roman" w:hAnsi="Times New Roman" w:cs="Times New Roman"/>
          <w:sz w:val="24"/>
          <w:szCs w:val="24"/>
        </w:rPr>
      </w:pPr>
      <w:r>
        <w:rPr>
          <w:rFonts w:cs="Times New Roman" w:ascii="Times New Roman" w:hAnsi="Times New Roman"/>
          <w:sz w:val="24"/>
          <w:szCs w:val="24"/>
        </w:rPr>
        <w:t>Sektor społeczny reprezentuje 30 stowarzyszeń, których głównym profilem działalności jest wspieranie grup potrzebujących, wykluczonych społecznie, wyrównywanie szans życiowych mieszkańców, sport i edukacja, integracja, podejmowanie inicjatyw lokalnych oraz rozwój turystyczny obszaru.</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Sektor gospodarczy reprezentowany jest przez 44 podmioty o różnym profilu działalności. </w:t>
      </w:r>
    </w:p>
    <w:p>
      <w:pPr>
        <w:pStyle w:val="Bezodstpw"/>
        <w:jc w:val="both"/>
        <w:rPr>
          <w:rFonts w:ascii="Times New Roman" w:hAnsi="Times New Roman" w:cs="Times New Roman"/>
          <w:sz w:val="24"/>
          <w:szCs w:val="24"/>
        </w:rPr>
      </w:pPr>
      <w:r>
        <w:rPr>
          <w:rFonts w:cs="Times New Roman" w:ascii="Times New Roman" w:hAnsi="Times New Roman"/>
          <w:sz w:val="24"/>
          <w:szCs w:val="24"/>
        </w:rPr>
        <w:t>Najliczniejszą grupę stanowią mieszkańcy. Są to osoby zamieszkujące obszar objęty strategią.</w:t>
      </w:r>
    </w:p>
    <w:p>
      <w:pPr>
        <w:pStyle w:val="Bezodstpw"/>
        <w:jc w:val="both"/>
        <w:rPr>
          <w:rFonts w:ascii="Times New Roman" w:hAnsi="Times New Roman" w:cs="Times New Roman"/>
          <w:sz w:val="24"/>
          <w:szCs w:val="24"/>
        </w:rPr>
      </w:pPr>
      <w:r>
        <w:rPr>
          <w:rFonts w:cs="Times New Roman" w:ascii="Times New Roman" w:hAnsi="Times New Roman"/>
          <w:sz w:val="24"/>
          <w:szCs w:val="24"/>
        </w:rPr>
        <w:t>Część osób reprezentuje jednocześnie dwa sektory np. mieszkaniec i przedstawiciel sektora społecznego lub mieszkaniec i przedsiębiorca.</w:t>
      </w:r>
    </w:p>
    <w:p>
      <w:pPr>
        <w:pStyle w:val="Bezodstpw"/>
        <w:jc w:val="both"/>
        <w:rPr>
          <w:rFonts w:ascii="Times New Roman" w:hAnsi="Times New Roman" w:cs="Times New Roman"/>
          <w:sz w:val="24"/>
          <w:szCs w:val="24"/>
        </w:rPr>
      </w:pPr>
      <w:r>
        <w:rPr>
          <w:rFonts w:cs="Times New Roman" w:ascii="Times New Roman" w:hAnsi="Times New Roman"/>
          <w:sz w:val="24"/>
          <w:szCs w:val="24"/>
        </w:rPr>
        <w:t>Partnerstwo wielosektorowe ma niebagatelny wpływ na niwelowanie głównych problemów, z jakimi borykają się grupy defaworyzowane, zdefiniowane na podstawie badania ankietowego oraz analizy SWOT.</w:t>
      </w:r>
    </w:p>
    <w:p>
      <w:pPr>
        <w:pStyle w:val="Bezodstpw"/>
        <w:jc w:val="both"/>
        <w:rPr>
          <w:rFonts w:ascii="Times New Roman" w:hAnsi="Times New Roman" w:cs="Times New Roman"/>
          <w:sz w:val="24"/>
          <w:szCs w:val="24"/>
        </w:rPr>
      </w:pPr>
      <w:r>
        <w:rPr>
          <w:rFonts w:cs="Times New Roman" w:ascii="Times New Roman" w:hAnsi="Times New Roman"/>
          <w:sz w:val="24"/>
          <w:szCs w:val="24"/>
        </w:rPr>
        <w:t>Badania wykazały, iż na obszarze objętym LSR grupą defaworyzowaną ze względu na dostęp do rynku pracy są głównie osoby po 50 roku życia, osoby do 35 roku życia, kobiety i osoby niepełnosprawne.</w:t>
      </w:r>
    </w:p>
    <w:p>
      <w:pPr>
        <w:pStyle w:val="Bezodstpw"/>
        <w:jc w:val="both"/>
        <w:rPr>
          <w:rFonts w:ascii="Times New Roman" w:hAnsi="Times New Roman" w:cs="Times New Roman"/>
          <w:sz w:val="24"/>
          <w:szCs w:val="24"/>
        </w:rPr>
      </w:pPr>
      <w:r>
        <w:rPr>
          <w:rFonts w:cs="Times New Roman" w:ascii="Times New Roman" w:hAnsi="Times New Roman"/>
          <w:sz w:val="24"/>
          <w:szCs w:val="24"/>
        </w:rPr>
        <w:t xml:space="preserve">LGD jako inicjator działań zmierzających do tworzenia warunków dla prawidłowego funkcjonowania grup defaworyzowanych przygotowuje i przeprowadza spotkania oraz analizy. Zebrane w ten sposób informacje stanowią podstawę do konstruowania planów działań na kolejny okres.  </w:t>
      </w:r>
    </w:p>
    <w:p>
      <w:pPr>
        <w:pStyle w:val="Bezodstpw"/>
        <w:jc w:val="both"/>
        <w:rPr>
          <w:rFonts w:ascii="Times New Roman" w:hAnsi="Times New Roman" w:cs="Times New Roman"/>
          <w:sz w:val="24"/>
          <w:szCs w:val="24"/>
        </w:rPr>
      </w:pPr>
      <w:r>
        <w:rPr>
          <w:rFonts w:cs="Times New Roman" w:ascii="Times New Roman" w:hAnsi="Times New Roman"/>
          <w:sz w:val="24"/>
          <w:szCs w:val="24"/>
        </w:rPr>
        <w:t>Oprócz operacji ukierunkowanych głównie na tworzenie miejsc pracy, LGD zamierza dedykować tym grupom również operacje, których konsekwencją będzie aktywizacja i integracja.</w:t>
      </w:r>
    </w:p>
    <w:p>
      <w:pPr>
        <w:pStyle w:val="Bezodstpw"/>
        <w:jc w:val="both"/>
        <w:rPr>
          <w:rFonts w:ascii="Times New Roman" w:hAnsi="Times New Roman" w:cs="Times New Roman"/>
          <w:sz w:val="24"/>
          <w:szCs w:val="24"/>
        </w:rPr>
      </w:pPr>
      <w:r>
        <w:rPr>
          <w:rFonts w:cs="Times New Roman" w:ascii="Times New Roman" w:hAnsi="Times New Roman"/>
          <w:sz w:val="24"/>
          <w:szCs w:val="24"/>
        </w:rPr>
        <w:t>Szczególną rolę w tym zakresie pełnić będą partnerzy reprezentujący podmioty ekonomii społecznej.</w:t>
      </w:r>
    </w:p>
    <w:p>
      <w:pPr>
        <w:pStyle w:val="Bezodstpw"/>
        <w:jc w:val="both"/>
        <w:rPr>
          <w:rFonts w:ascii="Times New Roman" w:hAnsi="Times New Roman" w:cs="Times New Roman"/>
          <w:sz w:val="24"/>
          <w:szCs w:val="24"/>
        </w:rPr>
      </w:pPr>
      <w:r>
        <w:rPr>
          <w:rFonts w:cs="Times New Roman" w:ascii="Times New Roman" w:hAnsi="Times New Roman"/>
          <w:sz w:val="24"/>
          <w:szCs w:val="24"/>
        </w:rPr>
      </w:r>
    </w:p>
    <w:p>
      <w:pPr>
        <w:pStyle w:val="Bezodstpw"/>
        <w:numPr>
          <w:ilvl w:val="0"/>
          <w:numId w:val="18"/>
        </w:numPr>
        <w:rPr>
          <w:rFonts w:ascii="Times New Roman" w:hAnsi="Times New Roman" w:cs="Times New Roman"/>
          <w:b/>
          <w:b/>
          <w:sz w:val="24"/>
          <w:szCs w:val="24"/>
        </w:rPr>
      </w:pPr>
      <w:r>
        <w:rPr>
          <w:rFonts w:cs="Times New Roman" w:ascii="Times New Roman" w:hAnsi="Times New Roman"/>
          <w:b/>
          <w:sz w:val="24"/>
          <w:szCs w:val="24"/>
        </w:rPr>
        <w:t xml:space="preserve">Charakterystyka rozwiązań stosowanych w procesie decyzyjnym </w:t>
      </w:r>
    </w:p>
    <w:p>
      <w:pPr>
        <w:pStyle w:val="Bezodstpw"/>
        <w:jc w:val="both"/>
        <w:rPr/>
      </w:pPr>
      <w:r>
        <w:rPr>
          <w:rFonts w:cs="Times New Roman" w:ascii="Times New Roman" w:hAnsi="Times New Roman"/>
          <w:sz w:val="24"/>
          <w:szCs w:val="24"/>
        </w:rPr>
        <w:t>Rada jako organ decyzyjny, o którym mowa w art. 32 ust.2 lit. b rozporządzenia 1303/2013 odpowiedzialna jest za wybór operacji na poziomie lokalnym i ma zapewnić, że wybrane operacje są zgodne ze strategią.  Proces decyzyjny w LGD nie jest zdominowany przez władze publiczne, ani żadną z grup interesu.</w:t>
      </w:r>
    </w:p>
    <w:p>
      <w:pPr>
        <w:pStyle w:val="Bezodstpw"/>
        <w:jc w:val="both"/>
        <w:rPr/>
      </w:pPr>
      <w:r>
        <w:rPr>
          <w:rFonts w:cs="Times New Roman" w:ascii="Times New Roman" w:hAnsi="Times New Roman"/>
          <w:b/>
          <w:sz w:val="24"/>
          <w:szCs w:val="24"/>
        </w:rPr>
        <w:t>Skład organu:</w:t>
      </w:r>
    </w:p>
    <w:p>
      <w:pPr>
        <w:pStyle w:val="Bezodstpw"/>
        <w:numPr>
          <w:ilvl w:val="0"/>
          <w:numId w:val="10"/>
        </w:numPr>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Rada składa się z 15 członków – 4 członków z sektora publicznego i 11 członków reprezentujących sektory: społeczny, gospodarczy oraz mieszkańców. W skład Rady wchodzi przynajmniej: jedna osoba do 35 roku życia i jedna kobieta przy czym, </w:t>
      </w:r>
    </w:p>
    <w:p>
      <w:pPr>
        <w:pStyle w:val="Bezodstpw"/>
        <w:numPr>
          <w:ilvl w:val="0"/>
          <w:numId w:val="10"/>
        </w:numPr>
        <w:jc w:val="both"/>
        <w:rPr/>
      </w:pPr>
      <w:r>
        <w:rPr>
          <w:rFonts w:cs="Times New Roman" w:ascii="Times New Roman" w:hAnsi="Times New Roman"/>
          <w:sz w:val="24"/>
          <w:szCs w:val="24"/>
        </w:rPr>
        <w:t>ani władze publiczne, ani żadna pojedyncza grupa interesu, nie mogą mieć więcej niż 49% praw głosów podejmowaniu decyzji przez organ decyzyjny. Parytet ten zachowany zostaje każdorazowo na etapie glosowania. Dodatkowe rekomendacje w zakresie zapewnienia wyboru operacji bez dominacji jakiejkolwiek grupy interesu w organie decyzyjnym, jak również w zakresie prawidłowości wyboru dokonywanego przez członków organu decyzyjnego, szczegółowo opisane zostały  w Regulaminie Rady.</w:t>
      </w:r>
    </w:p>
    <w:p>
      <w:pPr>
        <w:pStyle w:val="Bezodstpw"/>
        <w:ind w:left="360" w:hanging="0"/>
        <w:jc w:val="both"/>
        <w:rPr>
          <w:rFonts w:ascii="Times New Roman" w:hAnsi="Times New Roman" w:cs="Times New Roman"/>
          <w:b/>
          <w:b/>
          <w:sz w:val="24"/>
          <w:szCs w:val="24"/>
        </w:rPr>
      </w:pPr>
      <w:r>
        <w:rPr>
          <w:rFonts w:cs="Times New Roman" w:ascii="Times New Roman" w:hAnsi="Times New Roman"/>
          <w:b/>
          <w:sz w:val="24"/>
          <w:szCs w:val="24"/>
        </w:rPr>
      </w:r>
    </w:p>
    <w:p>
      <w:pPr>
        <w:pStyle w:val="Bezodstpw"/>
        <w:numPr>
          <w:ilvl w:val="0"/>
          <w:numId w:val="18"/>
        </w:numPr>
        <w:jc w:val="both"/>
        <w:rPr/>
      </w:pPr>
      <w:r>
        <w:rPr>
          <w:rFonts w:cs="Times New Roman" w:ascii="Times New Roman" w:hAnsi="Times New Roman"/>
          <w:b/>
          <w:sz w:val="24"/>
          <w:szCs w:val="24"/>
        </w:rPr>
        <w:t>Dokumenty regulujące funkcjonowanie LGD</w:t>
      </w:r>
    </w:p>
    <w:p>
      <w:pPr>
        <w:pStyle w:val="Bezodstpw"/>
        <w:jc w:val="both"/>
        <w:rPr>
          <w:rFonts w:ascii="Times New Roman" w:hAnsi="Times New Roman" w:cs="Times New Roman"/>
          <w:sz w:val="24"/>
          <w:szCs w:val="24"/>
        </w:rPr>
      </w:pPr>
      <w:r>
        <w:rPr>
          <w:rFonts w:cs="Times New Roman" w:ascii="Times New Roman" w:hAnsi="Times New Roman"/>
          <w:sz w:val="24"/>
          <w:szCs w:val="24"/>
        </w:rPr>
        <w:t>Działania LGD Centrum Inicjatyw Wiejskich  regulują dokumenty wewnętrzne, wśród których najważniejszym jest Statut, którego szczegółowość decyduje o  wprowadzeniu dokumentów niższego rzędu. Dokumentami niższego rzędu są regulaminy:</w:t>
      </w:r>
    </w:p>
    <w:p>
      <w:pPr>
        <w:pStyle w:val="Bezodstpw"/>
        <w:numPr>
          <w:ilvl w:val="0"/>
          <w:numId w:val="39"/>
        </w:numPr>
        <w:jc w:val="both"/>
        <w:rPr>
          <w:rFonts w:ascii="Times New Roman" w:hAnsi="Times New Roman" w:cs="Times New Roman"/>
          <w:sz w:val="24"/>
          <w:szCs w:val="24"/>
        </w:rPr>
      </w:pPr>
      <w:r>
        <w:rPr>
          <w:rFonts w:cs="Times New Roman" w:ascii="Times New Roman" w:hAnsi="Times New Roman"/>
          <w:sz w:val="24"/>
          <w:szCs w:val="24"/>
        </w:rPr>
        <w:t>Zarządu LGD</w:t>
      </w:r>
    </w:p>
    <w:p>
      <w:pPr>
        <w:pStyle w:val="Bezodstpw"/>
        <w:numPr>
          <w:ilvl w:val="0"/>
          <w:numId w:val="39"/>
        </w:numPr>
        <w:jc w:val="both"/>
        <w:rPr/>
      </w:pPr>
      <w:r>
        <w:rPr>
          <w:rFonts w:cs="Times New Roman" w:ascii="Times New Roman" w:hAnsi="Times New Roman"/>
          <w:sz w:val="24"/>
          <w:szCs w:val="24"/>
        </w:rPr>
        <w:t xml:space="preserve">Komisji Rewizyjnej </w:t>
      </w:r>
    </w:p>
    <w:p>
      <w:pPr>
        <w:pStyle w:val="Bezodstpw"/>
        <w:numPr>
          <w:ilvl w:val="0"/>
          <w:numId w:val="39"/>
        </w:numPr>
        <w:jc w:val="both"/>
        <w:rPr>
          <w:rFonts w:ascii="Times New Roman" w:hAnsi="Times New Roman" w:cs="Times New Roman"/>
          <w:sz w:val="24"/>
          <w:szCs w:val="24"/>
        </w:rPr>
      </w:pPr>
      <w:r>
        <w:rPr>
          <w:rFonts w:cs="Times New Roman" w:ascii="Times New Roman" w:hAnsi="Times New Roman"/>
          <w:sz w:val="24"/>
          <w:szCs w:val="24"/>
        </w:rPr>
        <w:t>Rady LGD</w:t>
      </w:r>
    </w:p>
    <w:p>
      <w:pPr>
        <w:pStyle w:val="Akapitzlist"/>
        <w:numPr>
          <w:ilvl w:val="0"/>
          <w:numId w:val="3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Walnego Zebrania Członków</w:t>
      </w:r>
    </w:p>
    <w:p>
      <w:pPr>
        <w:pStyle w:val="Bezodstpw"/>
        <w:jc w:val="both"/>
        <w:rPr>
          <w:rFonts w:ascii="Times New Roman" w:hAnsi="Times New Roman" w:cs="Times New Roman"/>
          <w:sz w:val="24"/>
          <w:szCs w:val="24"/>
        </w:rPr>
      </w:pPr>
      <w:r>
        <w:rPr>
          <w:rFonts w:cs="Times New Roman" w:ascii="Times New Roman" w:hAnsi="Times New Roman"/>
          <w:sz w:val="24"/>
          <w:szCs w:val="24"/>
        </w:rPr>
        <w:t>Uchwalanie i zmiany wyżej wymienionych dokumentów należą do wyłącznej dyspozycji Walnego Zebrania Członków Stowarzyszenia.</w:t>
      </w:r>
    </w:p>
    <w:p>
      <w:pPr>
        <w:pStyle w:val="Bezodstpw"/>
        <w:jc w:val="both"/>
        <w:rPr>
          <w:rFonts w:ascii="Times New Roman" w:hAnsi="Times New Roman" w:cs="Times New Roman"/>
          <w:sz w:val="24"/>
          <w:szCs w:val="24"/>
        </w:rPr>
      </w:pPr>
      <w:r>
        <w:rPr>
          <w:rFonts w:cs="Times New Roman" w:ascii="Times New Roman" w:hAnsi="Times New Roman"/>
          <w:sz w:val="24"/>
          <w:szCs w:val="24"/>
        </w:rPr>
        <w:t>Dodatkowo w stowarzyszeniu funkcjonuje Regulamin Biura LGD. Regulamin ten uchwalany jest oraz zmieniany przez Zarząd LGD zgodnie z zapisami w Regulaminie Zarządu.</w:t>
      </w:r>
    </w:p>
    <w:p>
      <w:pPr>
        <w:pStyle w:val="Bezodstpw"/>
        <w:jc w:val="both"/>
        <w:rPr>
          <w:rFonts w:ascii="Times New Roman" w:hAnsi="Times New Roman" w:cs="Times New Roman"/>
          <w:b/>
          <w:b/>
          <w:sz w:val="24"/>
          <w:szCs w:val="24"/>
        </w:rPr>
      </w:pPr>
      <w:r>
        <w:rPr>
          <w:rFonts w:cs="Times New Roman" w:ascii="Times New Roman" w:hAnsi="Times New Roman"/>
          <w:b/>
          <w:sz w:val="24"/>
          <w:szCs w:val="24"/>
        </w:rPr>
      </w:r>
    </w:p>
    <w:p>
      <w:pPr>
        <w:pStyle w:val="Bezodstpw"/>
        <w:jc w:val="both"/>
        <w:rPr>
          <w:rFonts w:ascii="Times New Roman" w:hAnsi="Times New Roman" w:cs="Times New Roman"/>
          <w:sz w:val="24"/>
          <w:szCs w:val="24"/>
        </w:rPr>
      </w:pPr>
      <w:r>
        <w:rPr>
          <w:rFonts w:cs="Times New Roman" w:ascii="Times New Roman" w:hAnsi="Times New Roman"/>
          <w:sz w:val="24"/>
          <w:szCs w:val="24"/>
        </w:rPr>
        <w:t>Wszystkie osoby zaangażowane w pracę na rzecz LGD zgodnie z zasadą podejścia RLKS stanowiącą, że to partnerstwo jest odpowiedzialne za wybór operacji powinny mieć odpowiednie kompetencje i zasoby do tworzenia i zarządzania procesami rozwoju na poziomie lokalnym. Wiedza i doświadczenie osób pełniących funkcje w organach stowarzyszenia, jak również w biurze, odpowiadają zakresowi merytorycznemu LSR.</w:t>
      </w:r>
    </w:p>
    <w:p>
      <w:pPr>
        <w:pStyle w:val="Bezodstpw"/>
        <w:jc w:val="both"/>
        <w:rPr>
          <w:rFonts w:ascii="Times New Roman" w:hAnsi="Times New Roman" w:cs="Times New Roman"/>
          <w:sz w:val="24"/>
          <w:szCs w:val="24"/>
        </w:rPr>
      </w:pPr>
      <w:r>
        <w:rPr>
          <w:rFonts w:cs="Times New Roman" w:ascii="Times New Roman" w:hAnsi="Times New Roman"/>
          <w:sz w:val="24"/>
          <w:szCs w:val="24"/>
        </w:rPr>
        <w:t>Szczegółowe informacje dotyczące wymaganych kompetencji na poszczególnych stanowiskach w organie decyzyjnym, w zarządzie (o ile na danym stanowisku przewidziane jest wynagrodzenie) oraz w biurze LGD, jak też wskazanie rozwiązań jakie będą stosowane przez LGD dla zapewnienia spełnienia tych wymagań, zawarte zostały w poszczególnych regulaminach.</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highlight w:val="yellow"/>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II. PARTYCYPACYJNY CHARAKTER  LSR</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ind w:left="12" w:hanging="12"/>
        <w:jc w:val="both"/>
        <w:rPr/>
      </w:pPr>
      <w:r>
        <w:rPr>
          <w:szCs w:val="24"/>
        </w:rPr>
        <w:t>Tworzenie strategii odbywało się przy użyciu wielu metod partycypacyjnych, które pozwoliły zaangażować społeczność lokalną w proces tworzenia LSR (w tym grupy defaworyzowane). W procesie konsultacji społecznych LGD korzystała z pomocy zewnętrznych moderatorów, wykorzystano także wyniki badań własnych. Zróżnicowane metody i techniki zostały wykorzystane na wszystkich kluczowych etapach opracowania LSR, tj:</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Diagnozy i analizy SWOT,</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Celów, wskaźników i planu działania,</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Zasad wyboru operacji i ustalania kryteriów wyboru,</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Monitoringu i ewaluacji,</w:t>
      </w:r>
    </w:p>
    <w:p>
      <w:pPr>
        <w:pStyle w:val="Normalny1"/>
        <w:numPr>
          <w:ilvl w:val="0"/>
          <w:numId w:val="34"/>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44" w:after="0"/>
        <w:jc w:val="both"/>
        <w:rPr>
          <w:szCs w:val="24"/>
        </w:rPr>
      </w:pPr>
      <w:r>
        <w:rPr>
          <w:szCs w:val="24"/>
        </w:rPr>
        <w:t>Planu komunikacji.</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Przy tworzeniu LSR zastosowano poniżej opisane metody partycypacyjne</w:t>
      </w:r>
      <w:r>
        <w:rPr/>
        <w:t>:</w:t>
      </w:r>
    </w:p>
    <w:tbl>
      <w:tblPr>
        <w:tblW w:w="10065" w:type="dxa"/>
        <w:jc w:val="left"/>
        <w:tblInd w:w="-577" w:type="dxa"/>
        <w:tblLayout w:type="fixed"/>
        <w:tblCellMar>
          <w:top w:w="100" w:type="dxa"/>
          <w:left w:w="100" w:type="dxa"/>
          <w:bottom w:w="100" w:type="dxa"/>
          <w:right w:w="100" w:type="dxa"/>
        </w:tblCellMar>
      </w:tblPr>
      <w:tblGrid>
        <w:gridCol w:w="1134"/>
        <w:gridCol w:w="6663"/>
        <w:gridCol w:w="567"/>
        <w:gridCol w:w="425"/>
        <w:gridCol w:w="425"/>
        <w:gridCol w:w="425"/>
        <w:gridCol w:w="426"/>
      </w:tblGrid>
      <w:tr>
        <w:trPr>
          <w:tblHeader w:val="true"/>
          <w:trHeight w:val="298" w:hRule="atLeast"/>
          <w:cantSplit w:val="true"/>
        </w:trPr>
        <w:tc>
          <w:tcPr>
            <w:tcW w:w="1134" w:type="dxa"/>
            <w:vMerge w:val="restart"/>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pacing w:before="60" w:after="0"/>
              <w:jc w:val="center"/>
              <w:rPr>
                <w:rFonts w:ascii="Times New Roman" w:hAnsi="Times New Roman" w:cs="Times New Roman"/>
                <w:szCs w:val="24"/>
              </w:rPr>
            </w:pPr>
            <w:r>
              <w:rPr>
                <w:rFonts w:cs="Times New Roman" w:ascii="Times New Roman" w:hAnsi="Times New Roman"/>
                <w:szCs w:val="24"/>
              </w:rPr>
              <w:t>Metoda</w:t>
            </w:r>
          </w:p>
        </w:tc>
        <w:tc>
          <w:tcPr>
            <w:tcW w:w="6663" w:type="dxa"/>
            <w:vMerge w:val="restart"/>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pacing w:before="60" w:after="0"/>
              <w:jc w:val="center"/>
              <w:rPr>
                <w:rFonts w:ascii="Times New Roman" w:hAnsi="Times New Roman" w:cs="Times New Roman"/>
                <w:szCs w:val="24"/>
              </w:rPr>
            </w:pPr>
            <w:r>
              <w:rPr>
                <w:rFonts w:cs="Times New Roman" w:ascii="Times New Roman" w:hAnsi="Times New Roman"/>
                <w:szCs w:val="24"/>
              </w:rPr>
              <w:t>Opis</w:t>
            </w:r>
          </w:p>
        </w:tc>
        <w:tc>
          <w:tcPr>
            <w:tcW w:w="2268" w:type="dxa"/>
            <w:gridSpan w:val="5"/>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Etap opracowania LSR</w:t>
            </w:r>
          </w:p>
        </w:tc>
      </w:tr>
      <w:tr>
        <w:trPr>
          <w:tblHeader w:val="true"/>
          <w:trHeight w:val="108" w:hRule="atLeast"/>
          <w:cantSplit w:val="true"/>
        </w:trPr>
        <w:tc>
          <w:tcPr>
            <w:tcW w:w="1134" w:type="dxa"/>
            <w:vMerge w:val="continue"/>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6663" w:type="dxa"/>
            <w:vMerge w:val="continue"/>
            <w:tcBorders>
              <w:top w:val="single" w:sz="8" w:space="0" w:color="000000"/>
              <w:left w:val="single" w:sz="8" w:space="0" w:color="000000"/>
              <w:bottom w:val="single" w:sz="8" w:space="0" w:color="000000"/>
              <w:right w:val="single" w:sz="8" w:space="0" w:color="000000"/>
            </w:tcBorders>
            <w:shd w:fill="B0B3B2" w:val="clear"/>
            <w:vAlign w:val="center"/>
          </w:tcPr>
          <w:p>
            <w:pPr>
              <w:pStyle w:val="Nagwek21"/>
              <w:snapToGrid w:val="false"/>
              <w:spacing w:before="60" w:after="0"/>
              <w:jc w:val="center"/>
              <w:rPr>
                <w:rFonts w:ascii="Times New Roman" w:hAnsi="Times New Roman" w:cs="Times New Roman"/>
                <w:szCs w:val="24"/>
              </w:rPr>
            </w:pPr>
            <w:r>
              <w:rPr>
                <w:rFonts w:cs="Times New Roman" w:ascii="Times New Roman" w:hAnsi="Times New Roman"/>
                <w:szCs w:val="24"/>
              </w:rPr>
            </w:r>
          </w:p>
        </w:tc>
        <w:tc>
          <w:tcPr>
            <w:tcW w:w="567"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1</w:t>
            </w:r>
          </w:p>
        </w:tc>
        <w:tc>
          <w:tcPr>
            <w:tcW w:w="425"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2</w:t>
            </w:r>
          </w:p>
        </w:tc>
        <w:tc>
          <w:tcPr>
            <w:tcW w:w="425"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3</w:t>
            </w:r>
          </w:p>
        </w:tc>
        <w:tc>
          <w:tcPr>
            <w:tcW w:w="425"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4</w:t>
            </w:r>
          </w:p>
        </w:tc>
        <w:tc>
          <w:tcPr>
            <w:tcW w:w="426" w:type="dxa"/>
            <w:tcBorders>
              <w:top w:val="single" w:sz="8" w:space="0" w:color="000000"/>
              <w:left w:val="single" w:sz="8" w:space="0" w:color="000000"/>
              <w:bottom w:val="single" w:sz="8" w:space="0" w:color="000000"/>
              <w:right w:val="single" w:sz="8" w:space="0" w:color="000000"/>
            </w:tcBorders>
            <w:shd w:fill="B0B3B2" w:val="clear"/>
            <w:tcMar>
              <w:top w:w="0" w:type="dxa"/>
              <w:left w:w="0" w:type="dxa"/>
              <w:bottom w:w="0" w:type="dxa"/>
              <w:right w:w="0" w:type="dxa"/>
            </w:tcMar>
            <w:vAlign w:val="center"/>
          </w:tcPr>
          <w:p>
            <w:pPr>
              <w:pStyle w:val="Czgwna"/>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rFonts w:ascii="Times New Roman" w:hAnsi="Times New Roman" w:cs="Times New Roman"/>
                <w:b/>
                <w:b/>
                <w:szCs w:val="24"/>
              </w:rPr>
            </w:pPr>
            <w:r>
              <w:rPr>
                <w:rFonts w:cs="Times New Roman" w:ascii="Times New Roman" w:hAnsi="Times New Roman"/>
                <w:b/>
                <w:szCs w:val="24"/>
              </w:rPr>
              <w:t>5</w:t>
            </w:r>
          </w:p>
        </w:tc>
      </w:tr>
      <w:tr>
        <w:trPr>
          <w:trHeight w:val="187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 xml:space="preserve">Badanie ankietowe </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 xml:space="preserve">Początkowym etapem tworzenia LSR były własne badania ankietowe przeprowadzone na mieszkańcach obszaru (w 2014 r.). Ankieta obejmowała 6 pytań dotyczących zadowolenia z jakości życia, oceny kierunku zmian na obszarze, oceny zadowolenia z 13 głównych kategorii tematycznych (np. rynek pracy, turystyka, estetyka miejscowości), planów migracyjnych osób młodych oraz preferowanych kanałów i środków komunikacji z mieszkańcami.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W trakcie badania zgromadzono ponad 130 ankiet, z czego znaczna ilość pochodziła od przedstawicieli grup defaworyzowanych. Wnioski z badania zostały wykorzystane na wszystkich kluczowych etapach opracowania LSR.</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220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Zespół roboczy</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 xml:space="preserve">Do pracy nad strategią, celem wypracowania kluczowych elementów strategii powołano zespół roboczy, w jego skład weszli przedstawiciele stowarzyszenia i pracownicy biura. Do jego głównych zadań należało: stworzenie harmonogramu prac nad LSR, wybór zewnętrznych moderatorów procesu konsultacji społecznych, opracowanie propozycji poszczególnych części LSR, ustosunkowanie się do uwag zgłoszonych </w:t>
              <w:br/>
              <w:t xml:space="preserve">w konsultacjach społecznych, opracowanie zaktualizowanych fragmentów strategii i opracowanie ostatecznej wersji dokumentu. Wypracowane przez zespół elementy były dalej omawiane </w:t>
              <w:br/>
              <w:t>na warsztatach konsultacyjnych.</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330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Warsztaty konsulta-cyjne</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Warsztaty konsultacyjne, wykorzystujące też metodę grup wielokrotnych, były kolejną metodą zastosowaną przy opracowaniu strategii. Zewnętrzni eksperci przeprowadzili cykl czterech dwudniowych warsztatów konsultacyjnych. Dzięki tym warsztatom członkowie wypracowali pierwsze propozycje kluczowych części strategii. W trakcie spotkań dyskutowano nad doświadczeniami z poprzedniego okresu programowania pod kątem projektowana nowej strategii. Rozwiązanie to pozwoliło na zaangażowanie w prace nad nową strategią aktywnych członków stowarzyszenia, reprezentację poszczególnych sektorów i obszarów wszystkich gmin członkowskich. Uzyskano dzięki tym warsztatom możliwie szerokie spojrzenie na problemy i szanse obszaru stowarzyszenia. W trakcie warsztatów omawiane były kwestie związane ze wszystkimi kluczowymi etapami opracowania LSR. Warsztaty zostały przeprowadzone w dniach</w:t>
            </w:r>
            <w:r>
              <w:rPr>
                <w:szCs w:val="24"/>
                <w:shd w:fill="FFFF00" w:val="clear"/>
              </w:rPr>
              <w:t xml:space="preserve"> </w:t>
            </w:r>
            <w:r>
              <w:rPr>
                <w:color w:val="000000"/>
                <w:szCs w:val="24"/>
                <w:shd w:fill="FFFF00" w:val="clear"/>
              </w:rPr>
              <w:t>27-28.07.2015, 28-29.08.2015, 26-27.09.2015, 07-08.11.2015</w:t>
            </w:r>
            <w:r>
              <w:rPr>
                <w:color w:val="000000"/>
                <w:szCs w:val="24"/>
              </w:rPr>
              <w:t xml:space="preserve">, łącznie wzięło w nich udział </w:t>
            </w:r>
            <w:r>
              <w:rPr>
                <w:color w:val="000000"/>
                <w:szCs w:val="24"/>
                <w:shd w:fill="FFFF00" w:val="clear"/>
              </w:rPr>
              <w:t>60</w:t>
            </w:r>
            <w:r>
              <w:rPr>
                <w:color w:val="000000"/>
                <w:szCs w:val="24"/>
              </w:rPr>
              <w:t xml:space="preserve"> </w:t>
            </w:r>
            <w:r>
              <w:rPr>
                <w:szCs w:val="24"/>
              </w:rPr>
              <w:t>osób.</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5060"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 xml:space="preserve">Spotkania konsulta-cyjne </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Zorganizowano otwarte spotkania konsultacyjne w dwóch cyklach, po jednym spotkaniu na terenie każdej gminy członkowskiej (w sierpniu i listopadzie 2015 r.). Do udziału w nich zaproszeni zostali wszyscy mieszkańcy, zadbano by pojawili się przedstawiciele sektora publicznego, gospodarczego i społecznego oraz osoby reprezentujące grupy defaworyzowane (ponad 50% uczestników).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 xml:space="preserve">Na spotkaniach gromadzono uwagi i opinie w odniesieniu do diagnozy obszaru, analizy SWOT, celów LSR oraz planowanych działań komunikacyjnych. Drugi cykl spotkań wzbogacił wiedzę uczestników o wskaźniki LSR, plan działania, zasady wyboru operacji i założenia procedury monitoringu i ewaluacji. Nadrzędnym celem spotkań było zebranie uwag, komentarzy i opinii mieszkańców na temat projektu elementów strategii wypracowanych na warsztatach i poprzez grupę roboczą. Uwagi zgłoszone w trakcie spotkań konsultacyjnych zostały zgromadzone przez moderatorów, grupa w odniesieniu do każdej uwagi dokonała analizy możliwości wprowadzenia postulowanej zmiany oraz przekazała uczestnikom spotkań informację zwrotną na temat sposobu dalszego postępowania z ich wnioskami.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Łącznie w spotkaniach udział wzięło 200  osób, które zgłosiły </w:t>
            </w:r>
            <w:r>
              <w:rPr>
                <w:szCs w:val="24"/>
                <w:shd w:fill="FFFF00" w:val="clear"/>
              </w:rPr>
              <w:t xml:space="preserve">ok. 30 </w:t>
            </w:r>
            <w:r>
              <w:rPr>
                <w:szCs w:val="24"/>
              </w:rPr>
              <w:t xml:space="preserve">uwag (zespół ds. opracowania LSR postanowił uwzględnić zgłoszone propozycje zmian). </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173"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Fokusy</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Aby pogłębić informacje na temat problemów grup defaworyzowanych, zorganizowano dwa fokusy z ich reprezentantami. Wywiady zostały przeprowadzone w dniu 25.09.2015 r., wzięło w nich udział 69 osób. W trakcie spotkań zgromadzono uwagi i propozycje wykorzystane przez LGD do opracowania ostatecznej wersji LSR. Dodatkowo przeprowadzono też dwa spotkania z przedstawicielami sektora publicznego, w celu doprecyzowania celów, wskaźników i budżetu, w odniesieniu do działań adresowanych do JST. Wzięło w nich udział 9 osób.</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173"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Wywiady indywi-dualne</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Pracownicy LGD i członkowie zespołu roboczego w trakcie prac nad strategią przeprowadzili szereg wywiadów indywidualnych </w:t>
              <w:br/>
              <w:t xml:space="preserve">z wójtami/burmistrzami, dyrektorami instytucji kultury, przedstawicielami organizacji pozarządowych, sołtysami, członkami rad sołeckich i rad gminy/miasta, przedsiębiorcami i mieszkańcami, którzy są aktywni społecznie. W trakcie wywiadów respondenci proszeni byli o ocenę zaproponowanych rozwiązań i pomysłów, które zostały przygotowane przez zespół roboczy, albo pojawiły się w trakcie warsztatów i spotkań konsultacyjnych. Dzięki temu znacząco zwiększono grono osób zaangażowanych w prace nad LSR i uzyskano cenne informacje od reprezentantów różnych sektorów i grup interesu. </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845"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Punkt konsulta-cyjny</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W ramach uzupełnienia działań partycypacyjnych stowarzyszenia powołano do życia punkt konsultacyjny, który funkcjonował w biurze LGD od lipca 2015 roku. Podczas spotkań zainteresowani mieszkańcy mogli otrzymać informacje na temat założeń strategii oraz postępów w pracach nad jej strategii. Podczas tych spotkań wszyscy mogli zgłosić swoje uwagi, postulaty i komentarze. Zostały one wykorzystane na wszystkich etapach opracowania LSR.</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r>
      <w:tr>
        <w:trPr>
          <w:trHeight w:val="1645" w:hRule="atLeast"/>
          <w:cantSplit w:val="true"/>
        </w:trPr>
        <w:tc>
          <w:tcPr>
            <w:tcW w:w="1134"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center"/>
              <w:rPr>
                <w:b/>
                <w:b/>
                <w:szCs w:val="24"/>
              </w:rPr>
            </w:pPr>
            <w:r>
              <w:rPr>
                <w:b/>
                <w:szCs w:val="24"/>
              </w:rPr>
              <w:t>Idea box</w:t>
            </w:r>
          </w:p>
        </w:tc>
        <w:tc>
          <w:tcPr>
            <w:tcW w:w="6663" w:type="dxa"/>
            <w:tcBorders>
              <w:top w:val="single" w:sz="8" w:space="0" w:color="000000"/>
              <w:left w:val="single" w:sz="8" w:space="0" w:color="000000"/>
              <w:bottom w:val="single" w:sz="8" w:space="0" w:color="000000"/>
              <w:right w:val="single" w:sz="8" w:space="0" w:color="000000"/>
            </w:tcBorders>
            <w:shd w:fill="FFFFFF" w:val="clear"/>
          </w:tcPr>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W trakcie tworzenia strategii poinformowano mieszkańców obszaru, że trwa zbieranie ich pomysłów na projekty, jakie będą chcieli realizować w nadchodzącym okresie programowania (z wykorzystaniem metody Idea Box, w formie fiszek projektowych). Dzięki temu stowarzyszenie mogło ocenić realnie założenia oraz wskaźniki dla strategii i wprowadzić korekty w budżecie i planie działania.</w:t>
            </w:r>
          </w:p>
        </w:tc>
        <w:tc>
          <w:tcPr>
            <w:tcW w:w="567"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pacing w:before="60" w:after="0"/>
              <w:jc w:val="center"/>
              <w:rPr>
                <w:rFonts w:ascii="Times New Roman" w:hAnsi="Times New Roman" w:cs="Times New Roman"/>
                <w:b/>
                <w:b/>
                <w:szCs w:val="24"/>
              </w:rPr>
            </w:pPr>
            <w:r>
              <w:rPr>
                <w:rFonts w:cs="Times New Roman"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c>
          <w:tcPr>
            <w:tcW w:w="426" w:type="dxa"/>
            <w:tcBorders>
              <w:top w:val="single" w:sz="8" w:space="0" w:color="000000"/>
              <w:left w:val="single" w:sz="8" w:space="0" w:color="000000"/>
              <w:bottom w:val="single" w:sz="8" w:space="0" w:color="000000"/>
              <w:right w:val="single" w:sz="8" w:space="0" w:color="000000"/>
            </w:tcBorders>
            <w:shd w:fill="FFFFFF" w:val="clear"/>
            <w:tcMar>
              <w:top w:w="0" w:type="dxa"/>
              <w:left w:w="0" w:type="dxa"/>
              <w:bottom w:w="0" w:type="dxa"/>
              <w:right w:w="0" w:type="dxa"/>
            </w:tcMar>
            <w:vAlign w:val="center"/>
          </w:tcPr>
          <w:p>
            <w:pPr>
              <w:pStyle w:val="CzgwnaA"/>
              <w:snapToGrid w:val="false"/>
              <w:spacing w:before="60" w:after="0"/>
              <w:jc w:val="center"/>
              <w:rPr>
                <w:rFonts w:ascii="Times New Roman" w:hAnsi="Times New Roman" w:cs="Times New Roman"/>
                <w:b/>
                <w:b/>
                <w:szCs w:val="24"/>
              </w:rPr>
            </w:pPr>
            <w:r>
              <w:rPr>
                <w:rFonts w:cs="Times New Roman" w:ascii="Times New Roman" w:hAnsi="Times New Roman"/>
                <w:b/>
                <w:szCs w:val="24"/>
              </w:rPr>
            </w:r>
          </w:p>
        </w:tc>
      </w:tr>
    </w:tbl>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jc w:val="both"/>
        <w:rPr/>
      </w:pPr>
      <w:r>
        <w:rPr>
          <w:szCs w:val="24"/>
        </w:rPr>
        <w:t xml:space="preserve">Harmonogram konsultacji społecznych został szeroko rozpowszechniony za pośrednictwem stron internetowych i aktywnych członków LGD. Cały proces konsultacji prowadzony był zgodnie z Kodeksem Konsultacji. Do opracowania strategii stowarzyszenie wykorzystało następujące dokumenty, wypracowane podczas przeprowadzonych konsultacji społecznych: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pPr>
      <w:r>
        <w:rPr>
          <w:szCs w:val="24"/>
        </w:rPr>
        <w:t xml:space="preserve">raport z badania ankietowego,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skrypt ze spotkań zespołu roboczego,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notatki prowadzone podczas warsztatów konsultacyjnych,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lista uwag mieszkańców zgłoszonych w trakcie spotkań konsultacyjnych,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szCs w:val="24"/>
        </w:rPr>
      </w:pPr>
      <w:r>
        <w:rPr>
          <w:szCs w:val="24"/>
        </w:rPr>
        <w:t xml:space="preserve">zestawienie fiszek projektowych, </w:t>
      </w:r>
    </w:p>
    <w:p>
      <w:pPr>
        <w:pStyle w:val="Normalny1"/>
        <w:numPr>
          <w:ilvl w:val="0"/>
          <w:numId w:val="2"/>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46" w:hanging="146"/>
        <w:jc w:val="both"/>
        <w:rPr/>
      </w:pPr>
      <w:r>
        <w:rPr>
          <w:szCs w:val="24"/>
        </w:rPr>
        <w:t>zestawienie uwag zgłoszonych w punkcie konsultacyjnym,</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jc w:val="both"/>
        <w:rPr/>
      </w:pPr>
      <w:r>
        <w:rPr>
          <w:szCs w:val="24"/>
        </w:rPr>
        <w:t xml:space="preserve">a także ewaluacje z okresu programowania na lata 2007-2013.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Na podstawie zebranych treści wprowadzono do strategii zmiany w odniesieniu do podziału środków budżetowych, planowanych wskaźników realizacji LSR, procedury wyboru operacji i planowanych działań komunikacyjnych, skierowanych do lokalnej społeczności. Doprecyzowano diagnozę obszaru; zmieniono projekt analizy SWOT oraz wprowadzono dodatkowe elementy, zgłoszone przez mieszkańców; rozbudowano listę grup defaworyzowanych; przeformułowano pierwotne brzmienie celów szczegółowych i przedsięwzięć; wprowadzono korekty w podziale środków budżetowych pomiędzy poszczególne cele i przedsięwzięcia; naniesiono zmiany w brzmieniu i zakładanych wartościach docelowych wskaźników realizacji LSR; wprowadzono liczne zmiany w brzmieniu kryteriów wyboru operacji oraz wagach punktowych, przypisanych do poszczególnych kryteriów; dodano korekty w zakresie procedury monitoringu i ewaluacji; rozbudowano plan komunikacji (głównie w wyniku uwag osób młodych).</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pPr>
      <w:r>
        <w:rPr>
          <w:szCs w:val="24"/>
        </w:rPr>
        <w:t xml:space="preserve">Etap tworzenia strategii to dopiero początek włączania mieszkańców w proces realizacji strategii. Stowarzyszenie zaplanowało również działania, które za pomocą metod partycypacyjnych będą angażować społeczność w proces samej realizacji LSR (w szczególności w ramach procesu aktualizacji i ewaluacji LSR, poprzez spotkania, warsztaty, badania ankietowe itp.). </w:t>
      </w:r>
    </w:p>
    <w:p>
      <w:pPr>
        <w:pStyle w:val="Normalny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60" w:after="0"/>
        <w:ind w:left="12" w:hanging="12"/>
        <w:jc w:val="both"/>
        <w:rPr>
          <w:szCs w:val="24"/>
        </w:rPr>
      </w:pPr>
      <w:r>
        <w:rPr>
          <w:szCs w:val="24"/>
        </w:rPr>
        <w:t>W kolejnych rozdziałach LSR zaznaczono elementy, które zostały zmienione dzięki wykorzystaniu metod partycypacyjnych.</w:t>
      </w:r>
    </w:p>
    <w:p>
      <w:pPr>
        <w:pStyle w:val="Normal"/>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p>
      <w:pPr>
        <w:pStyle w:val="Normal"/>
        <w:jc w:val="center"/>
        <w:rPr>
          <w:rFonts w:ascii="Times New Roman" w:hAnsi="Times New Roman" w:eastAsia="ヒラギノ角ゴ Pro W3" w:cs="Times New Roman"/>
          <w:b/>
          <w:b/>
          <w:color w:val="000000"/>
          <w:sz w:val="24"/>
          <w:szCs w:val="24"/>
          <w:lang w:eastAsia="pl-PL"/>
        </w:rPr>
      </w:pPr>
      <w:r>
        <w:rPr>
          <w:rFonts w:eastAsia="ヒラギノ角ゴ Pro W3" w:cs="Times New Roman" w:ascii="Times New Roman" w:hAnsi="Times New Roman"/>
          <w:b/>
          <w:color w:val="000000"/>
          <w:sz w:val="24"/>
          <w:szCs w:val="24"/>
          <w:lang w:eastAsia="pl-PL"/>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III. DIAGNOZA – OPIS OBSZARU I LUDNOŚCI</w:t>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60" w:after="0"/>
        <w:jc w:val="both"/>
        <w:rPr/>
      </w:pPr>
      <w:r>
        <w:rPr>
          <w:rFonts w:eastAsia="Times New Roman" w:cs="Times New Roman" w:ascii="Times New Roman" w:hAnsi="Times New Roman"/>
          <w:sz w:val="24"/>
          <w:szCs w:val="24"/>
          <w:lang w:eastAsia="ar-SA"/>
        </w:rPr>
        <w:t xml:space="preserve">Obszar objęty działaniem LGD CIW jest </w:t>
      </w:r>
      <w:r>
        <w:rPr>
          <w:rFonts w:eastAsia="Times New Roman" w:cs="Times New Roman" w:ascii="Times New Roman" w:hAnsi="Times New Roman"/>
          <w:b/>
          <w:sz w:val="24"/>
          <w:szCs w:val="24"/>
          <w:lang w:eastAsia="ar-SA"/>
        </w:rPr>
        <w:t>spójny przestrzennie</w:t>
      </w:r>
      <w:r>
        <w:rPr>
          <w:rFonts w:eastAsia="Times New Roman" w:cs="Times New Roman" w:ascii="Times New Roman" w:hAnsi="Times New Roman"/>
          <w:sz w:val="24"/>
          <w:szCs w:val="24"/>
          <w:lang w:eastAsia="ar-SA"/>
        </w:rPr>
        <w:t xml:space="preserve">, obejmuje centralny fragment województwa zachodniopomorskiego o łącznej powierzchni </w:t>
      </w:r>
      <w:r>
        <w:rPr>
          <w:rFonts w:eastAsia="Times New Roman" w:cs="Times New Roman" w:ascii="Times New Roman" w:hAnsi="Times New Roman"/>
          <w:b/>
          <w:sz w:val="24"/>
          <w:szCs w:val="24"/>
          <w:lang w:eastAsia="ar-SA"/>
        </w:rPr>
        <w:t>1.065 km²</w:t>
      </w:r>
      <w:r>
        <w:rPr>
          <w:rFonts w:eastAsia="Times New Roman" w:cs="Times New Roman" w:ascii="Times New Roman" w:hAnsi="Times New Roman"/>
          <w:sz w:val="24"/>
          <w:szCs w:val="24"/>
          <w:lang w:eastAsia="ar-SA"/>
        </w:rPr>
        <w:t>.</w:t>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60" w:after="0"/>
        <w:jc w:val="center"/>
        <w:rPr>
          <w:rFonts w:ascii="Times New Roman" w:hAnsi="Times New Roman" w:eastAsia="Times New Roman" w:cs="Times New Roman"/>
          <w:lang w:eastAsia="ar-SA"/>
        </w:rPr>
      </w:pPr>
      <w:r>
        <w:rPr>
          <w:rFonts w:eastAsia="Times New Roman" w:cs="Times New Roman" w:ascii="Times New Roman" w:hAnsi="Times New Roman"/>
          <w:lang w:val="pl-PL" w:eastAsia="pl-PL"/>
        </w:rPr>
        <w:drawing>
          <wp:inline distT="0" distB="0" distL="0" distR="0">
            <wp:extent cx="2566035" cy="2373630"/>
            <wp:effectExtent l="0" t="0" r="0" b="0"/>
            <wp:docPr id="7"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 descr=""/>
                    <pic:cNvPicPr>
                      <a:picLocks noChangeAspect="1" noChangeArrowheads="1"/>
                    </pic:cNvPicPr>
                  </pic:nvPicPr>
                  <pic:blipFill>
                    <a:blip r:embed="rId8"/>
                    <a:srcRect l="-14" t="-15" r="-14" b="-15"/>
                    <a:stretch>
                      <a:fillRect/>
                    </a:stretch>
                  </pic:blipFill>
                  <pic:spPr bwMode="auto">
                    <a:xfrm>
                      <a:off x="0" y="0"/>
                      <a:ext cx="2566035" cy="2373630"/>
                    </a:xfrm>
                    <a:prstGeom prst="rect">
                      <a:avLst/>
                    </a:prstGeom>
                  </pic:spPr>
                </pic:pic>
              </a:graphicData>
            </a:graphic>
          </wp:inline>
        </w:drawing>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Obszar działania LGD CIW znajduje się poza przebiegiem głównych ciągów komunikacyjnych o znaczeniu krajowym, jedynie część południowa obszaru połączona z drogą krajową nr 20, co daje dostęp do drogowego szlaku komunikacyjnego wschód-zachód. Pomimo stosunkowo peryferyjnego położenia, skomunikowanie z resztą kraju, należy uznać za dobre, w tym uwzględnić należy dostęp do sieci dróg </w:t>
      </w:r>
      <w:r>
        <w:rPr>
          <w:rFonts w:eastAsia="Times New Roman" w:cs="Times New Roman" w:ascii="Times New Roman" w:hAnsi="Times New Roman"/>
          <w:color w:val="000000"/>
          <w:sz w:val="24"/>
          <w:szCs w:val="24"/>
          <w:lang w:eastAsia="ar-SA"/>
        </w:rPr>
        <w:t>wojewódzkich, oraz połączeń kolejowych o zasięgu lokalnym i krajowym.</w:t>
      </w:r>
    </w:p>
    <w:p>
      <w:pPr>
        <w:pStyle w:val="Normal"/>
        <w:suppressAutoHyphens w:val="true"/>
        <w:spacing w:lineRule="auto" w:line="240" w:before="6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Uwarunkowania geograficzno-przyrodnicze:</w:t>
      </w:r>
    </w:p>
    <w:p>
      <w:pPr>
        <w:pStyle w:val="Normal"/>
        <w:suppressAutoHyphens w:val="true"/>
        <w:spacing w:lineRule="auto" w:line="240" w:before="60" w:after="0"/>
        <w:jc w:val="both"/>
        <w:rPr/>
      </w:pPr>
      <w:r>
        <w:rPr>
          <w:rFonts w:eastAsia="Times New Roman" w:cs="Times New Roman" w:ascii="Times New Roman" w:hAnsi="Times New Roman"/>
          <w:sz w:val="24"/>
          <w:szCs w:val="24"/>
          <w:lang w:eastAsia="ar-SA"/>
        </w:rPr>
        <w:t>Obszar LGD CIW zaklasyfikowany został (pod względem przynależności do krain geograficznych Polski) jako pas pojezierzy. Bardziej szczegółowy podział autorstwa Jerzego Kondrackiego wskazuje, że na obszarze objętym działaniem LGD występują 3 mezoregiony: Wysoczyzna Łobeska, Pojezierze Drawskie oraz Pojezierze Ińskie</w:t>
      </w:r>
      <w:r>
        <w:rPr>
          <w:rStyle w:val="Zakotwiczenieprzypisudolnego"/>
          <w:rFonts w:eastAsia="Times New Roman" w:cs="Times New Roman" w:ascii="Times New Roman" w:hAnsi="Times New Roman"/>
          <w:sz w:val="24"/>
          <w:szCs w:val="24"/>
          <w:vertAlign w:val="superscript"/>
          <w:lang w:eastAsia="ar-SA"/>
        </w:rPr>
        <w:footnoteReference w:id="2"/>
      </w:r>
      <w:r>
        <w:rPr>
          <w:rFonts w:eastAsia="Times New Roman" w:cs="Times New Roman" w:ascii="Times New Roman" w:hAnsi="Times New Roman"/>
          <w:sz w:val="24"/>
          <w:szCs w:val="24"/>
          <w:lang w:eastAsia="ar-SA"/>
        </w:rPr>
        <w:t xml:space="preserve">. Obszar LGD znajduje się w zlewni Regi. Na terenie tym występuje ponad 20 jezior, z których największym jest jezioro Woświn, położone w gminie Węgorzyno (o powierzchni ponad 800 ha). </w:t>
      </w:r>
      <w:r>
        <w:rPr>
          <w:rFonts w:eastAsia="Times New Roman" w:cs="Times New Roman" w:ascii="Times New Roman" w:hAnsi="Times New Roman"/>
          <w:b/>
          <w:sz w:val="24"/>
          <w:szCs w:val="24"/>
          <w:lang w:eastAsia="ar-SA"/>
        </w:rPr>
        <w:t>Obszary chronione obejmują niecałe 3% powierzchni obszaru LGD</w:t>
      </w:r>
      <w:r>
        <w:rPr>
          <w:rFonts w:eastAsia="Times New Roman" w:cs="Times New Roman" w:ascii="Times New Roman" w:hAnsi="Times New Roman"/>
          <w:sz w:val="24"/>
          <w:szCs w:val="24"/>
          <w:lang w:eastAsia="ar-SA"/>
        </w:rPr>
        <w:t xml:space="preserve">, co jest wynikiem znacznie poniżej średniej dla województwa zachodniopomorskiego (21,7%) i Polski (32,5%). Na analizowanym obszarze występuje </w:t>
      </w:r>
      <w:r>
        <w:rPr>
          <w:rFonts w:eastAsia="Times New Roman" w:cs="Times New Roman" w:ascii="Times New Roman" w:hAnsi="Times New Roman"/>
          <w:b/>
          <w:sz w:val="24"/>
          <w:szCs w:val="24"/>
          <w:lang w:eastAsia="ar-SA"/>
        </w:rPr>
        <w:t>7 obszarów cennych przyrodniczo</w:t>
      </w:r>
      <w:r>
        <w:rPr>
          <w:rFonts w:eastAsia="Times New Roman" w:cs="Times New Roman" w:ascii="Times New Roman" w:hAnsi="Times New Roman"/>
          <w:sz w:val="24"/>
          <w:szCs w:val="24"/>
          <w:lang w:eastAsia="ar-SA"/>
        </w:rPr>
        <w:t>, w tym: Iński Park Krajobrazowy (gm. Węgorzyno), rezerwaty: Źródliskowe Zbocza (gm. Węgorzyno), Mszar nad jeziorem Piaski i Mszar koło Starej Dobrzycy (gm. Resko), obszar ptasi sieci Natura 2000 „Ostoja Ińsko” (gm. Dobra, gm. Radowo Małe, gm. Węgorzyno, gm. Łobez) oraz obszary siedliskowe sieci Natura 2000: „Brzeźnicka Węgorza” (gm. Węgorzyno) i „Dorzecze Regi” (gm. Węgorzyno, gm. Łobez, gm. Radowo Małe, gm. Resko).</w:t>
      </w:r>
    </w:p>
    <w:p>
      <w:pPr>
        <w:pStyle w:val="Normal"/>
        <w:spacing w:lineRule="auto" w:line="240" w:before="6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bl>
      <w:tblPr>
        <w:tblW w:w="9900" w:type="dxa"/>
        <w:jc w:val="center"/>
        <w:tblInd w:w="0" w:type="dxa"/>
        <w:tblLayout w:type="fixed"/>
        <w:tblCellMar>
          <w:top w:w="0" w:type="dxa"/>
          <w:left w:w="108" w:type="dxa"/>
          <w:bottom w:w="0" w:type="dxa"/>
          <w:right w:w="108" w:type="dxa"/>
        </w:tblCellMar>
      </w:tblPr>
      <w:tblGrid>
        <w:gridCol w:w="1555"/>
        <w:gridCol w:w="1275"/>
        <w:gridCol w:w="1585"/>
        <w:gridCol w:w="825"/>
        <w:gridCol w:w="827"/>
        <w:gridCol w:w="732"/>
        <w:gridCol w:w="876"/>
        <w:gridCol w:w="684"/>
        <w:gridCol w:w="826"/>
        <w:gridCol w:w="715"/>
      </w:tblGrid>
      <w:tr>
        <w:trPr/>
        <w:tc>
          <w:tcPr>
            <w:tcW w:w="1555" w:type="dxa"/>
            <w:vMerge w:val="restart"/>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Gmina</w:t>
            </w:r>
          </w:p>
        </w:tc>
        <w:tc>
          <w:tcPr>
            <w:tcW w:w="1275" w:type="dxa"/>
            <w:vMerge w:val="restart"/>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Powierzchnia gminy (w ha)</w:t>
            </w:r>
          </w:p>
        </w:tc>
        <w:tc>
          <w:tcPr>
            <w:tcW w:w="2410"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Powierzchnia obszarów chronionych</w:t>
            </w:r>
          </w:p>
        </w:tc>
        <w:tc>
          <w:tcPr>
            <w:tcW w:w="1559"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Rezerwaty przyrody</w:t>
            </w:r>
          </w:p>
        </w:tc>
        <w:tc>
          <w:tcPr>
            <w:tcW w:w="1560"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Parki krajobrazowe</w:t>
            </w: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rPr>
              <w:t>Użytki ekologiczne</w:t>
            </w:r>
          </w:p>
        </w:tc>
      </w:tr>
      <w:tr>
        <w:trPr/>
        <w:tc>
          <w:tcPr>
            <w:tcW w:w="1555"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275"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585"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825"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tc>
        <w:tc>
          <w:tcPr>
            <w:tcW w:w="827"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732"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tc>
        <w:tc>
          <w:tcPr>
            <w:tcW w:w="876"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684"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tc>
        <w:tc>
          <w:tcPr>
            <w:tcW w:w="826" w:type="dxa"/>
            <w:tcBorders>
              <w:top w:val="single" w:sz="4" w:space="0" w:color="000000"/>
              <w:left w:val="single" w:sz="4" w:space="0" w:color="000000"/>
              <w:bottom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 ha</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lang w:eastAsia="ar-SA"/>
              </w:rPr>
            </w:pPr>
            <w:r>
              <w:rPr>
                <w:rFonts w:eastAsia="Times New Roman" w:cs="Times New Roman" w:ascii="Times New Roman" w:hAnsi="Times New Roman"/>
                <w:b/>
                <w:bCs/>
                <w:lang w:eastAsia="ar-SA"/>
              </w:rPr>
              <w:t>%</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11.590</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41,10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0,35</w:t>
            </w:r>
          </w:p>
        </w:tc>
        <w:tc>
          <w:tcPr>
            <w:tcW w:w="827"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3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41,10</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pPr>
            <w:r>
              <w:rPr>
                <w:rFonts w:cs="Times New Roman" w:ascii="Times New Roman" w:hAnsi="Times New Roman"/>
              </w:rPr>
              <w:t>0,35</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22.739</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7"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3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15"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18.046</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9,70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0,05</w:t>
            </w:r>
          </w:p>
        </w:tc>
        <w:tc>
          <w:tcPr>
            <w:tcW w:w="827"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73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9,70</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0,05</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28.520</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126,90</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0,44</w:t>
            </w:r>
          </w:p>
        </w:tc>
        <w:tc>
          <w:tcPr>
            <w:tcW w:w="82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15,20</w:t>
            </w:r>
          </w:p>
        </w:tc>
        <w:tc>
          <w:tcPr>
            <w:tcW w:w="73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0,05</w:t>
            </w:r>
          </w:p>
        </w:tc>
        <w:tc>
          <w:tcPr>
            <w:tcW w:w="876"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6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0,00</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111,70</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0,39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25.618</w:t>
            </w:r>
          </w:p>
        </w:tc>
        <w:tc>
          <w:tcPr>
            <w:tcW w:w="1585"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2.865,50</w:t>
            </w:r>
          </w:p>
        </w:tc>
        <w:tc>
          <w:tcPr>
            <w:tcW w:w="825"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11,19</w:t>
            </w:r>
          </w:p>
        </w:tc>
        <w:tc>
          <w:tcPr>
            <w:tcW w:w="827"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21,50</w:t>
            </w:r>
          </w:p>
        </w:tc>
        <w:tc>
          <w:tcPr>
            <w:tcW w:w="732"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0,08</w:t>
            </w:r>
          </w:p>
        </w:tc>
        <w:tc>
          <w:tcPr>
            <w:tcW w:w="876"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2.738,00</w:t>
            </w:r>
          </w:p>
        </w:tc>
        <w:tc>
          <w:tcPr>
            <w:tcW w:w="684"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10,69</w:t>
            </w:r>
          </w:p>
        </w:tc>
        <w:tc>
          <w:tcPr>
            <w:tcW w:w="826"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106,00</w:t>
            </w:r>
          </w:p>
        </w:tc>
        <w:tc>
          <w:tcPr>
            <w:tcW w:w="715"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0,41</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b/>
                <w:b/>
              </w:rPr>
            </w:pPr>
            <w:r>
              <w:rPr>
                <w:rFonts w:cs="Times New Roman" w:ascii="Times New Roman" w:hAnsi="Times New Roman"/>
                <w:b/>
              </w:rPr>
              <w:t>Razem</w:t>
            </w:r>
          </w:p>
        </w:tc>
        <w:tc>
          <w:tcPr>
            <w:tcW w:w="127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pPr>
            <w:r>
              <w:rPr>
                <w:rFonts w:cs="Times New Roman" w:ascii="Times New Roman" w:hAnsi="Times New Roman"/>
                <w:b/>
              </w:rPr>
              <w:t>106.513</w:t>
            </w:r>
          </w:p>
        </w:tc>
        <w:tc>
          <w:tcPr>
            <w:tcW w:w="158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3.043</w:t>
            </w:r>
          </w:p>
        </w:tc>
        <w:tc>
          <w:tcPr>
            <w:tcW w:w="825"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2,86</w:t>
            </w:r>
          </w:p>
        </w:tc>
        <w:tc>
          <w:tcPr>
            <w:tcW w:w="82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37</w:t>
            </w:r>
          </w:p>
        </w:tc>
        <w:tc>
          <w:tcPr>
            <w:tcW w:w="73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0,03</w:t>
            </w:r>
          </w:p>
        </w:tc>
        <w:tc>
          <w:tcPr>
            <w:tcW w:w="87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2.738</w:t>
            </w:r>
          </w:p>
        </w:tc>
        <w:tc>
          <w:tcPr>
            <w:tcW w:w="684"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2,57</w:t>
            </w:r>
          </w:p>
        </w:tc>
        <w:tc>
          <w:tcPr>
            <w:tcW w:w="826"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269</w:t>
            </w:r>
          </w:p>
        </w:tc>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0,25</w:t>
            </w:r>
          </w:p>
        </w:tc>
      </w:tr>
    </w:tbl>
    <w:p>
      <w:pPr>
        <w:pStyle w:val="Normal"/>
        <w:spacing w:lineRule="auto" w:line="240" w:before="60" w:after="0"/>
        <w:jc w:val="both"/>
        <w:rPr/>
      </w:pPr>
      <w:r>
        <w:rPr>
          <w:rFonts w:cs="Times New Roman" w:ascii="Times New Roman" w:hAnsi="Times New Roman"/>
          <w:sz w:val="24"/>
          <w:szCs w:val="24"/>
        </w:rPr>
        <w:t xml:space="preserve">Wśród gmin wchodzących w skład LGD CIW największy udział w powierzchni mają parki krajobrazowe (2,57%), w przypadku rezerwatów i użytków ekologicznych odsetek ten wynosi poniżej 0,3% całkowitej powierzchni. Największy udział obszarów chronionych w powierzchni gminy występuje w przypadku gminy Węgorzyno (11,19%), w pozostałych gminach odsetek ten jest znikomy i nie przekracza 0,5%. Na analizowanym terenie, zgodnie z danymi z Banku Danych Lokalnych GUS istnieją zaledwie </w:t>
      </w:r>
      <w:r>
        <w:rPr>
          <w:rFonts w:cs="Times New Roman" w:ascii="Times New Roman" w:hAnsi="Times New Roman"/>
          <w:b/>
          <w:bCs/>
          <w:sz w:val="24"/>
          <w:szCs w:val="24"/>
        </w:rPr>
        <w:t xml:space="preserve">24 pomniki przyrody </w:t>
      </w:r>
      <w:r>
        <w:rPr>
          <w:rFonts w:cs="Times New Roman" w:ascii="Times New Roman" w:hAnsi="Times New Roman"/>
          <w:sz w:val="24"/>
          <w:szCs w:val="24"/>
        </w:rPr>
        <w:t>(0,008% wszystkich pomników przyrody w województwie zachodniopomorskim). Najwięcej tego typu obiektów zlokalizowanych jest w gminie Resko (16 sztuk), pojedyncze obiekty znajdują się w gminach Dobra, Łobez, Radowo Małe, zaś żadne pomniki przyrody nie występują w gminie Węgorzyno.</w:t>
      </w:r>
    </w:p>
    <w:p>
      <w:pPr>
        <w:pStyle w:val="Normal"/>
        <w:spacing w:lineRule="auto" w:line="240" w:before="60" w:after="0"/>
        <w:jc w:val="both"/>
        <w:rPr/>
      </w:pPr>
      <w:r>
        <w:rPr>
          <w:rFonts w:cs="Times New Roman" w:ascii="Times New Roman" w:hAnsi="Times New Roman"/>
          <w:b/>
          <w:bCs/>
          <w:iCs/>
          <w:sz w:val="24"/>
          <w:szCs w:val="24"/>
        </w:rPr>
        <w:t>Podsumowanie:</w:t>
      </w:r>
      <w:r>
        <w:rPr>
          <w:rFonts w:cs="Times New Roman" w:ascii="Times New Roman" w:hAnsi="Times New Roman"/>
          <w:i/>
          <w:iCs/>
          <w:sz w:val="24"/>
          <w:szCs w:val="24"/>
        </w:rPr>
        <w:t xml:space="preserve"> </w:t>
      </w:r>
      <w:r>
        <w:rPr>
          <w:rFonts w:cs="Times New Roman" w:ascii="Times New Roman" w:hAnsi="Times New Roman"/>
          <w:iCs/>
          <w:sz w:val="24"/>
          <w:szCs w:val="24"/>
        </w:rPr>
        <w:t xml:space="preserve">potencjał przyrodniczy obszaru LGD CIW jako całości należy uznać za niewielki. Udział obszarów chronionych w ogólnej </w:t>
      </w:r>
      <w:r>
        <w:rPr>
          <w:rFonts w:cs="Times New Roman" w:ascii="Times New Roman" w:hAnsi="Times New Roman"/>
          <w:iCs/>
          <w:color w:val="000000"/>
          <w:sz w:val="24"/>
          <w:szCs w:val="24"/>
        </w:rPr>
        <w:t>powierzchni obszaru jest znikomy, występują także nieliczne pomniki przyrody. Wyjątkiem są tutaj południowe krańce gminy Węgorzyno, które stanowią fragment parku krajobrazowego i dodatkowo są objęte siecią Natura 2000. Podkreślić jednak należy występowanie walorów przyrodniczych nieobjętych bezpośrednią ochroną prawną, stanowią jednak cenne zasoby (sieć rzek i jezior oraz wysoka lesistość, na poziomie 31,6% powierzchni obszaru).</w:t>
      </w:r>
    </w:p>
    <w:p>
      <w:pPr>
        <w:pStyle w:val="Normal"/>
        <w:spacing w:lineRule="auto" w:line="240" w:before="6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Dane demograficzne:</w:t>
      </w:r>
    </w:p>
    <w:p>
      <w:pPr>
        <w:pStyle w:val="Normal"/>
        <w:spacing w:lineRule="auto" w:line="240" w:before="60" w:after="0"/>
        <w:jc w:val="both"/>
        <w:rPr/>
      </w:pPr>
      <w:r>
        <w:rPr>
          <w:rFonts w:cs="Times New Roman" w:ascii="Times New Roman" w:hAnsi="Times New Roman"/>
          <w:sz w:val="24"/>
          <w:szCs w:val="24"/>
        </w:rPr>
        <w:t xml:space="preserve">W skład LGD CIW wchodzi 5 gmin (w tym jedna gmina wiejska i cztery gminy miejsko-wiejskie) zamieszkanych przez </w:t>
      </w:r>
      <w:r>
        <w:rPr>
          <w:rFonts w:cs="Times New Roman" w:ascii="Times New Roman" w:hAnsi="Times New Roman"/>
          <w:b/>
          <w:bCs/>
          <w:sz w:val="24"/>
          <w:szCs w:val="24"/>
        </w:rPr>
        <w:t>37.966 osób</w:t>
      </w:r>
      <w:r>
        <w:rPr>
          <w:rFonts w:cs="Times New Roman" w:ascii="Times New Roman" w:hAnsi="Times New Roman"/>
          <w:sz w:val="24"/>
          <w:szCs w:val="24"/>
        </w:rPr>
        <w:t xml:space="preserve"> (wg stanu na 31.12.2013 r.).</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tbl>
      <w:tblPr>
        <w:tblW w:w="9634" w:type="dxa"/>
        <w:jc w:val="center"/>
        <w:tblInd w:w="0" w:type="dxa"/>
        <w:tblLayout w:type="fixed"/>
        <w:tblCellMar>
          <w:top w:w="0" w:type="dxa"/>
          <w:left w:w="108" w:type="dxa"/>
          <w:bottom w:w="0" w:type="dxa"/>
          <w:right w:w="108" w:type="dxa"/>
        </w:tblCellMar>
      </w:tblPr>
      <w:tblGrid>
        <w:gridCol w:w="1555"/>
        <w:gridCol w:w="1701"/>
        <w:gridCol w:w="1701"/>
        <w:gridCol w:w="2412"/>
        <w:gridCol w:w="2265"/>
      </w:tblGrid>
      <w:tr>
        <w:trPr/>
        <w:tc>
          <w:tcPr>
            <w:tcW w:w="155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Gmina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Status gminy</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Liczba ludności</w:t>
            </w:r>
          </w:p>
        </w:tc>
        <w:tc>
          <w:tcPr>
            <w:tcW w:w="241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Powierzchnia (w km²)</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Gęstość zaludnienia (w osobach na km²)</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4.482</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116</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14.356</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227</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63</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sz w:val="24"/>
                <w:szCs w:val="24"/>
              </w:rPr>
              <w:t>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3.708</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181</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21</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8.229</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285</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sz w:val="24"/>
                <w:szCs w:val="24"/>
              </w:rPr>
              <w:t>29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7.191</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256</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28</w:t>
            </w:r>
          </w:p>
        </w:tc>
      </w:tr>
      <w:tr>
        <w:trPr/>
        <w:tc>
          <w:tcPr>
            <w:tcW w:w="3256"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RAZEM</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37.966 osób</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1.065 km²</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w:t>
            </w:r>
          </w:p>
        </w:tc>
      </w:tr>
      <w:tr>
        <w:trPr/>
        <w:tc>
          <w:tcPr>
            <w:tcW w:w="3256" w:type="dxa"/>
            <w:gridSpan w:val="2"/>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ŚREDNIA dla obszaru</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7.593 osób</w:t>
            </w:r>
          </w:p>
        </w:tc>
        <w:tc>
          <w:tcPr>
            <w:tcW w:w="241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213 km²</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36</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Liczba mieszkańców poszczególnych gmin jest zróżnicowana – od niespełna 4.000 osób (gmina Radowo Małe) do ponad 14.000 osób (gmina Łobez). Średnia powierzchnia gmin wchodzących w skład LGD wyniosła 213 km² i jest zbliżona do średniej dla województwa zachodniopomorskiego (201 km²), ale znacznie przekracza wartość ogólnopolską (126 km²). Przekłada się to na niewielką gęstość zaludnienia. Dla analizowanego obszaru wynosi ona jedynie 36 osób na km² (w woj. zachodniopomorskim wskaźnik ten wynosi 75 osób/km², a w Polsce – 123 osoby/km²). </w:t>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9328" w:type="dxa"/>
        <w:jc w:val="center"/>
        <w:tblInd w:w="0" w:type="dxa"/>
        <w:tblLayout w:type="fixed"/>
        <w:tblCellMar>
          <w:top w:w="0" w:type="dxa"/>
          <w:left w:w="108" w:type="dxa"/>
          <w:bottom w:w="0" w:type="dxa"/>
          <w:right w:w="108" w:type="dxa"/>
        </w:tblCellMar>
      </w:tblPr>
      <w:tblGrid>
        <w:gridCol w:w="1228"/>
        <w:gridCol w:w="884"/>
        <w:gridCol w:w="884"/>
        <w:gridCol w:w="884"/>
        <w:gridCol w:w="885"/>
        <w:gridCol w:w="885"/>
        <w:gridCol w:w="885"/>
        <w:gridCol w:w="885"/>
        <w:gridCol w:w="885"/>
        <w:gridCol w:w="1023"/>
      </w:tblGrid>
      <w:tr>
        <w:trPr/>
        <w:tc>
          <w:tcPr>
            <w:tcW w:w="1228"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7077" w:type="dxa"/>
            <w:gridSpan w:val="8"/>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Liczba mieszkańców gminy wg stanu na 31.12. danego roku</w:t>
            </w:r>
          </w:p>
        </w:tc>
        <w:tc>
          <w:tcPr>
            <w:tcW w:w="1023"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b/>
                <w:bCs/>
              </w:rPr>
              <w:t>Różnica (2014 -2007)</w:t>
            </w:r>
          </w:p>
        </w:tc>
      </w:tr>
      <w:tr>
        <w:trPr/>
        <w:tc>
          <w:tcPr>
            <w:tcW w:w="122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102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4.443</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4.419</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4.346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4.551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4.507</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4.516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4.482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4.478</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00B050"/>
              </w:rPr>
              <w:t>35</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14.376</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14.353</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14.320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14.540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14.514</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14.455</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14.356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14.283</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FF0000"/>
              </w:rPr>
              <w:t>-93</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3.757</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3.748</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3.722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3.764</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3.737</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3.729</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3.708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3.677</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FF0000"/>
              </w:rPr>
              <w:t>-80</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8.269</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8.264</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8.278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8.400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8.378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8.311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8.229</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8.196</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color w:val="FF0000"/>
              </w:rPr>
              <w:t>-73</w:t>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7.361</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7.378</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7.397</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7.315</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7.272</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7.200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7.191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7.170</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-191</w:t>
            </w:r>
          </w:p>
        </w:tc>
      </w:tr>
      <w:tr>
        <w:trPr/>
        <w:tc>
          <w:tcPr>
            <w:tcW w:w="1228" w:type="dxa"/>
            <w:tcBorders>
              <w:top w:val="single" w:sz="4" w:space="0" w:color="000000"/>
              <w:left w:val="single" w:sz="4" w:space="0" w:color="000000"/>
              <w:bottom w:val="single" w:sz="4" w:space="0" w:color="000000"/>
            </w:tcBorders>
          </w:tcPr>
          <w:p>
            <w:pPr>
              <w:pStyle w:val="Normal"/>
              <w:spacing w:lineRule="auto" w:line="240" w:before="60" w:after="0"/>
              <w:jc w:val="right"/>
              <w:rPr>
                <w:rFonts w:ascii="Times New Roman" w:hAnsi="Times New Roman" w:cs="Times New Roman"/>
                <w:b/>
                <w:b/>
              </w:rPr>
            </w:pPr>
            <w:r>
              <w:rPr>
                <w:rFonts w:cs="Times New Roman" w:ascii="Times New Roman" w:hAnsi="Times New Roman"/>
                <w:b/>
              </w:rPr>
              <w:t>RAZEM</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38.206</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38.162</w:t>
            </w:r>
          </w:p>
        </w:tc>
        <w:tc>
          <w:tcPr>
            <w:tcW w:w="8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38.063</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38.570</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38.408</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38.211</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37.966</w:t>
            </w:r>
          </w:p>
        </w:tc>
        <w:tc>
          <w:tcPr>
            <w:tcW w:w="8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37.804</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color w:val="FF0000"/>
              </w:rPr>
              <w:t>-402</w:t>
            </w:r>
          </w:p>
        </w:tc>
      </w:tr>
    </w:tbl>
    <w:p>
      <w:pPr>
        <w:pStyle w:val="Normal"/>
        <w:spacing w:lineRule="auto" w:line="240" w:before="6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60" w:after="0"/>
        <w:jc w:val="both"/>
        <w:rPr/>
      </w:pPr>
      <w:r>
        <w:rPr>
          <w:rFonts w:cs="Times New Roman" w:ascii="Times New Roman" w:hAnsi="Times New Roman"/>
          <w:iCs/>
          <w:sz w:val="24"/>
          <w:szCs w:val="24"/>
        </w:rPr>
        <w:t xml:space="preserve">W latach 2007-2013 na analizowanym obszarze </w:t>
      </w:r>
      <w:r>
        <w:rPr>
          <w:rFonts w:cs="Times New Roman" w:ascii="Times New Roman" w:hAnsi="Times New Roman"/>
          <w:b/>
          <w:bCs/>
          <w:iCs/>
          <w:sz w:val="24"/>
          <w:szCs w:val="24"/>
        </w:rPr>
        <w:t xml:space="preserve">utrzymywał się trend związany ze spadkiem ogólnej liczby ludności </w:t>
      </w:r>
      <w:r>
        <w:rPr>
          <w:rFonts w:cs="Times New Roman" w:ascii="Times New Roman" w:hAnsi="Times New Roman"/>
          <w:bCs/>
          <w:iCs/>
          <w:sz w:val="24"/>
          <w:szCs w:val="24"/>
        </w:rPr>
        <w:t>(jedynym wyjątkiem był tutaj 2010 rok)</w:t>
      </w:r>
      <w:r>
        <w:rPr>
          <w:rFonts w:cs="Times New Roman" w:ascii="Times New Roman" w:hAnsi="Times New Roman"/>
          <w:iCs/>
          <w:sz w:val="24"/>
          <w:szCs w:val="24"/>
        </w:rPr>
        <w:t xml:space="preserve">. </w:t>
      </w:r>
      <w:r>
        <w:rPr>
          <w:rFonts w:cs="Times New Roman" w:ascii="Times New Roman" w:hAnsi="Times New Roman"/>
          <w:sz w:val="24"/>
          <w:szCs w:val="24"/>
        </w:rPr>
        <w:t xml:space="preserve">Łącznie na przestrzeni analizowanych lat (2007-2014) </w:t>
      </w:r>
      <w:r>
        <w:rPr>
          <w:rFonts w:cs="Times New Roman" w:ascii="Times New Roman" w:hAnsi="Times New Roman"/>
          <w:b/>
          <w:bCs/>
          <w:sz w:val="24"/>
          <w:szCs w:val="24"/>
        </w:rPr>
        <w:t>liczba mieszkańców obszaru LGD CIW zmalała o 402 osoby</w:t>
      </w:r>
      <w:r>
        <w:rPr>
          <w:rFonts w:cs="Times New Roman" w:ascii="Times New Roman" w:hAnsi="Times New Roman"/>
          <w:sz w:val="24"/>
          <w:szCs w:val="24"/>
        </w:rPr>
        <w:t xml:space="preserve"> (0,01% wartości dla roku bazowego). Niewielki przyrost wystąpił jedynie w gminie Dobra (35 osób). </w:t>
      </w:r>
      <w:r>
        <w:rPr>
          <w:rFonts w:cs="Times New Roman" w:ascii="Times New Roman" w:hAnsi="Times New Roman"/>
          <w:iCs/>
          <w:sz w:val="24"/>
          <w:szCs w:val="24"/>
        </w:rPr>
        <w:t>Największy spadek liczby mieszkańców odnotowała gmina Węgorzyno (aż o 191 osób). W pozostałych gminach dotkniętych trendem spadkowym, ubytek liczby mieszkańców wystąpił  na średnim poziomie 80 osób.</w:t>
      </w:r>
    </w:p>
    <w:p>
      <w:pPr>
        <w:pStyle w:val="Normal"/>
        <w:spacing w:lineRule="auto" w:line="240" w:before="60" w:after="0"/>
        <w:rPr>
          <w:rFonts w:ascii="Times New Roman" w:hAnsi="Times New Roman" w:cs="Times New Roman"/>
          <w:b/>
          <w:b/>
          <w:bCs/>
          <w:iCs/>
          <w:sz w:val="24"/>
          <w:szCs w:val="24"/>
        </w:rPr>
      </w:pPr>
      <w:r>
        <w:rPr>
          <w:rFonts w:cs="Times New Roman" w:ascii="Times New Roman" w:hAnsi="Times New Roman"/>
          <w:b/>
          <w:bCs/>
          <w:iCs/>
          <w:sz w:val="24"/>
          <w:szCs w:val="24"/>
        </w:rPr>
      </w:r>
    </w:p>
    <w:tbl>
      <w:tblPr>
        <w:tblW w:w="9328" w:type="dxa"/>
        <w:jc w:val="center"/>
        <w:tblInd w:w="0" w:type="dxa"/>
        <w:tblLayout w:type="fixed"/>
        <w:tblCellMar>
          <w:top w:w="0" w:type="dxa"/>
          <w:left w:w="108" w:type="dxa"/>
          <w:bottom w:w="0" w:type="dxa"/>
          <w:right w:w="108" w:type="dxa"/>
        </w:tblCellMar>
      </w:tblPr>
      <w:tblGrid>
        <w:gridCol w:w="2217"/>
        <w:gridCol w:w="688"/>
        <w:gridCol w:w="688"/>
        <w:gridCol w:w="689"/>
        <w:gridCol w:w="689"/>
        <w:gridCol w:w="689"/>
        <w:gridCol w:w="689"/>
        <w:gridCol w:w="689"/>
        <w:gridCol w:w="689"/>
        <w:gridCol w:w="160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5510" w:type="dxa"/>
            <w:gridSpan w:val="8"/>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Przyrost naturalny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Skumulowany przyrost naturalny na 1000 osób</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16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Dobra</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color w:val="FF0000"/>
              </w:rPr>
              <w:t>-1,8</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00B050"/>
              </w:rPr>
              <w:t>4,0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-3,5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color w:val="FF0000"/>
              </w:rPr>
              <w:t>-1,8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00B050"/>
              </w:rPr>
              <w:t>3,1</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-0,7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2,0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-0,8</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00B050"/>
              </w:rPr>
              <w:t>3,2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rPr>
              <w:t>1,6</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00B050"/>
              </w:rPr>
              <w:t>11,4</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00B050"/>
              </w:rPr>
            </w:pPr>
            <w:r>
              <w:rPr>
                <w:rFonts w:cs="Times New Roman" w:ascii="Times New Roman" w:hAnsi="Times New Roman"/>
              </w:rPr>
              <w:t>2,0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00B050"/>
              </w:rPr>
              <w:t>4,5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0,7</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-2,0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-4,6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-3,3</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-4,2</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Węgorzyno</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-0,5</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3,2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-0,4</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-2,2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color w:val="FF0000"/>
              </w:rPr>
              <w:t>-0,1</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color w:val="FF0000"/>
              </w:rPr>
              <w:t>-3,1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0,7</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-1,6</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1,2</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0,8</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color w:val="FF0000"/>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-0,4</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0,3</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0,3</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b/>
              </w:rPr>
              <w:t>0,0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color w:val="FF0000"/>
              </w:rPr>
              <w:t>-0,5</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0,0</w:t>
            </w:r>
          </w:p>
        </w:tc>
        <w:tc>
          <w:tcPr>
            <w:tcW w:w="16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2,8</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Zmniejszająca się liczba ludności jest pochodną między innymi </w:t>
      </w:r>
      <w:r>
        <w:rPr>
          <w:rFonts w:cs="Times New Roman" w:ascii="Times New Roman" w:hAnsi="Times New Roman"/>
          <w:b/>
          <w:sz w:val="24"/>
          <w:szCs w:val="24"/>
        </w:rPr>
        <w:t>niewielkiego</w:t>
      </w:r>
      <w:r>
        <w:rPr>
          <w:rFonts w:cs="Times New Roman" w:ascii="Times New Roman" w:hAnsi="Times New Roman"/>
          <w:b/>
          <w:bCs/>
          <w:sz w:val="24"/>
          <w:szCs w:val="24"/>
        </w:rPr>
        <w:t xml:space="preserve"> przyrostu naturalnego</w:t>
      </w:r>
      <w:r>
        <w:rPr>
          <w:rFonts w:cs="Times New Roman" w:ascii="Times New Roman" w:hAnsi="Times New Roman"/>
          <w:sz w:val="24"/>
          <w:szCs w:val="24"/>
        </w:rPr>
        <w:t>, który utrzymuje się na obszarze LGD CIW w analizowanych latach. O ile w skali kraju mamy do czynienia ze stagnacją, na opisywanym obszarze ujemny przyrost naturalny utrzymywał się od 2011 roku, podobnie jak w całym województwie zachodniopomorskim. Podobieństwa są również widoczne w przypadku skumulowanego przyrostu naturalnego. Na obszarze LGD CIW wyniósł on zaledwie 1,2, podczas gdy wynik dla województwa zachodniopomorskiego to 1,6 (dla Polski: 2,8). Świadczy to o niewielkim potencjale demograficznym obszaru.</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r>
        <mc:AlternateContent>
          <mc:Choice Requires="wps">
            <w:drawing>
              <wp:anchor behindDoc="0" distT="0" distB="0" distL="89535" distR="89535" simplePos="0" locked="0" layoutInCell="0" allowOverlap="1" relativeHeight="9">
                <wp:simplePos x="0" y="0"/>
                <wp:positionH relativeFrom="margin">
                  <wp:align>center</wp:align>
                </wp:positionH>
                <wp:positionV relativeFrom="paragraph">
                  <wp:posOffset>123825</wp:posOffset>
                </wp:positionV>
                <wp:extent cx="5485765" cy="2334260"/>
                <wp:effectExtent l="0" t="0" r="0" b="0"/>
                <wp:wrapSquare wrapText="bothSides"/>
                <wp:docPr id="8" name="Ramka1"/>
                <a:graphic xmlns:a="http://schemas.openxmlformats.org/drawingml/2006/main">
                  <a:graphicData uri="http://schemas.microsoft.com/office/word/2010/wordprocessingShape">
                    <wps:wsp>
                      <wps:cNvSpPr txBox="1"/>
                      <wps:spPr>
                        <a:xfrm>
                          <a:off x="0" y="0"/>
                          <a:ext cx="5485765" cy="2334260"/>
                        </a:xfrm>
                        <a:prstGeom prst="rect"/>
                        <a:solidFill>
                          <a:srgbClr val="FFFFFF">
                            <a:alpha val="0"/>
                          </a:srgbClr>
                        </a:solidFill>
                      </wps:spPr>
                      <wps:txbx>
                        <w:txbxContent>
                          <w:tbl>
                            <w:tblPr>
                              <w:tblW w:w="8639" w:type="dxa"/>
                              <w:jc w:val="left"/>
                              <w:tblInd w:w="-5" w:type="dxa"/>
                              <w:tblLayout w:type="fixed"/>
                              <w:tblCellMar>
                                <w:top w:w="0" w:type="dxa"/>
                                <w:left w:w="108" w:type="dxa"/>
                                <w:bottom w:w="0" w:type="dxa"/>
                                <w:right w:w="108" w:type="dxa"/>
                              </w:tblCellMar>
                            </w:tblPr>
                            <w:tblGrid>
                              <w:gridCol w:w="2217"/>
                              <w:gridCol w:w="688"/>
                              <w:gridCol w:w="688"/>
                              <w:gridCol w:w="689"/>
                              <w:gridCol w:w="689"/>
                              <w:gridCol w:w="689"/>
                              <w:gridCol w:w="689"/>
                              <w:gridCol w:w="689"/>
                              <w:gridCol w:w="160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4821" w:type="dxa"/>
                                  <w:gridSpan w:val="7"/>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Saldo migracji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b/>
                                      <w:bCs/>
                                    </w:rPr>
                                    <w:t>Skumulowane saldo migracji na 1000 osób</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6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Dobra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-5,9</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-9,7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-1,1</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-33,6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Łobez</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-7,0</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-26,5</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Radowo Małe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-7,8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-8,6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color w:val="FF0000"/>
                                    </w:rPr>
                                    <w:t>-49,0</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Resko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color w:val="538135"/>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-3,4</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Węgorzyno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-21,7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ŚREDNIA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-4,9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-30,3</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woj. zachodniopomorskie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-0,6</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-4,4</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POLSKA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-0,5</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i/>
                                      <w:i/>
                                      <w:iCs/>
                                    </w:rPr>
                                  </w:pPr>
                                  <w:r>
                                    <w:rPr>
                                      <w:rFonts w:cs="Times New Roman" w:ascii="Times New Roman" w:hAnsi="Times New Roman"/>
                                      <w:b/>
                                      <w:bCs/>
                                    </w:rPr>
                                    <w:t>-1,8</w:t>
                                  </w:r>
                                </w:p>
                              </w:tc>
                            </w:tr>
                          </w:tbl>
                        </w:txbxContent>
                      </wps:txbx>
                      <wps:bodyPr anchor="t" lIns="0" tIns="0" rIns="0" bIns="0">
                        <a:noAutofit/>
                      </wps:bodyPr>
                    </wps:wsp>
                  </a:graphicData>
                </a:graphic>
              </wp:anchor>
            </w:drawing>
          </mc:Choice>
          <mc:Fallback>
            <w:pict>
              <v:rect fillcolor="#FFFFFF" style="position:absolute;rotation:0;width:431.95pt;height:183.8pt;mso-wrap-distance-left:7.05pt;mso-wrap-distance-right:7.05pt;mso-wrap-distance-top:0pt;mso-wrap-distance-bottom:0pt;margin-top:9.75pt;mso-position-vertical-relative:text;margin-left:32.05pt;mso-position-horizontal:center;mso-position-horizontal-relative:margin">
                <v:fill opacity="0f"/>
                <v:textbox inset="0in,0in,0in,0in">
                  <w:txbxContent>
                    <w:tbl>
                      <w:tblPr>
                        <w:tblW w:w="8639" w:type="dxa"/>
                        <w:jc w:val="left"/>
                        <w:tblInd w:w="-5" w:type="dxa"/>
                        <w:tblLayout w:type="fixed"/>
                        <w:tblCellMar>
                          <w:top w:w="0" w:type="dxa"/>
                          <w:left w:w="108" w:type="dxa"/>
                          <w:bottom w:w="0" w:type="dxa"/>
                          <w:right w:w="108" w:type="dxa"/>
                        </w:tblCellMar>
                      </w:tblPr>
                      <w:tblGrid>
                        <w:gridCol w:w="2217"/>
                        <w:gridCol w:w="688"/>
                        <w:gridCol w:w="688"/>
                        <w:gridCol w:w="689"/>
                        <w:gridCol w:w="689"/>
                        <w:gridCol w:w="689"/>
                        <w:gridCol w:w="689"/>
                        <w:gridCol w:w="689"/>
                        <w:gridCol w:w="160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4821" w:type="dxa"/>
                            <w:gridSpan w:val="7"/>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Saldo migracji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b/>
                                <w:bCs/>
                              </w:rPr>
                              <w:t>Skumulowane saldo migracji na 1000 osób</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68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68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6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Dobra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-5,9</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-9,7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-1,1</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-33,6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Łobez</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-7,0</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-26,5</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Radowo Małe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-7,8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-8,6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color w:val="FF0000"/>
                              </w:rPr>
                              <w:t>-49,0</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Resko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color w:val="538135"/>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-3,4</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color w:val="FF0000"/>
                              </w:rPr>
                            </w:pPr>
                            <w:r>
                              <w:rPr>
                                <w:rFonts w:cs="Times New Roman" w:ascii="Times New Roman" w:hAnsi="Times New Roman"/>
                              </w:rPr>
                              <w:t>Węgorzyno</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-2,4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-0,3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-6,3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-3,7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rPr>
                            </w:pPr>
                            <w:r>
                              <w:rPr>
                                <w:rFonts w:cs="Times New Roman" w:ascii="Times New Roman" w:hAnsi="Times New Roman"/>
                              </w:rPr>
                              <w:t>-4,0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-3,9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-21,7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ŚREDNIA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-3,6</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-4,7</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-4,9</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-30,3</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woj. zachodniopomorskie</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-0,8</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-0,6</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bCs/>
                              </w:rPr>
                              <w:t>-4,4</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color w:val="FF0000"/>
                              </w:rPr>
                            </w:pPr>
                            <w:r>
                              <w:rPr>
                                <w:rFonts w:cs="Times New Roman" w:ascii="Times New Roman" w:hAnsi="Times New Roman"/>
                                <w:b/>
                              </w:rPr>
                              <w:t>POLSKA</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-0,5</w:t>
                            </w:r>
                          </w:p>
                        </w:tc>
                        <w:tc>
                          <w:tcPr>
                            <w:tcW w:w="688"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-0,4</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0,0</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-0,1</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-0,2</w:t>
                            </w:r>
                          </w:p>
                        </w:tc>
                        <w:tc>
                          <w:tcPr>
                            <w:tcW w:w="68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-0,5</w:t>
                            </w:r>
                          </w:p>
                        </w:tc>
                        <w:tc>
                          <w:tcPr>
                            <w:tcW w:w="16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i/>
                                <w:i/>
                                <w:iCs/>
                              </w:rPr>
                            </w:pPr>
                            <w:r>
                              <w:rPr>
                                <w:rFonts w:cs="Times New Roman" w:ascii="Times New Roman" w:hAnsi="Times New Roman"/>
                                <w:b/>
                                <w:bCs/>
                              </w:rPr>
                              <w:t>-1,8</w:t>
                            </w:r>
                          </w:p>
                        </w:tc>
                      </w:tr>
                    </w:tbl>
                  </w:txbxContent>
                </v:textbox>
                <w10:wrap type="square"/>
              </v:rect>
            </w:pict>
          </mc:Fallback>
        </mc:AlternateConten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jc w:val="both"/>
        <w:rPr/>
      </w:pPr>
      <w:r>
        <w:rPr>
          <w:rFonts w:cs="Times New Roman" w:ascii="Times New Roman" w:hAnsi="Times New Roman"/>
          <w:sz w:val="24"/>
          <w:szCs w:val="24"/>
        </w:rPr>
        <w:t xml:space="preserve">Na obszarze LGD CIW występuje także </w:t>
      </w:r>
      <w:r>
        <w:rPr>
          <w:rFonts w:cs="Times New Roman" w:ascii="Times New Roman" w:hAnsi="Times New Roman"/>
          <w:b/>
          <w:bCs/>
          <w:sz w:val="24"/>
          <w:szCs w:val="24"/>
        </w:rPr>
        <w:t>bardzo wysokie ujemne</w:t>
      </w:r>
      <w:r>
        <w:rPr>
          <w:rFonts w:cs="Times New Roman" w:ascii="Times New Roman" w:hAnsi="Times New Roman"/>
          <w:sz w:val="24"/>
          <w:szCs w:val="24"/>
        </w:rPr>
        <w:t xml:space="preserve"> </w:t>
      </w:r>
      <w:r>
        <w:rPr>
          <w:rFonts w:cs="Times New Roman" w:ascii="Times New Roman" w:hAnsi="Times New Roman"/>
          <w:b/>
          <w:bCs/>
          <w:sz w:val="24"/>
          <w:szCs w:val="24"/>
        </w:rPr>
        <w:t>saldo migracji</w:t>
      </w:r>
      <w:r>
        <w:rPr>
          <w:rFonts w:cs="Times New Roman" w:ascii="Times New Roman" w:hAnsi="Times New Roman"/>
          <w:sz w:val="24"/>
          <w:szCs w:val="24"/>
        </w:rPr>
        <w:t xml:space="preserve"> (utrzymujące się w latach 2007-2013). W analizowanym okresie tylko w jednej gminie, w 2007 r. doszło do wzrostu na poziomie 2,4. Największy ubytek mieszkańców w wyniku migracji dotknął gminę Radowo Małe (skumulowany spadek wyniósł 49 osób na tysiąc mieszkańców) i gminę Dobra (-33,6). Są to dane znacząco poniżej średnich dla województwa (-4,4) i kraju (-1,8).</w:t>
      </w:r>
    </w:p>
    <w:p>
      <w:pPr>
        <w:pStyle w:val="Normal"/>
        <w:rPr>
          <w:rFonts w:ascii="Times New Roman" w:hAnsi="Times New Roman" w:cs="Times New Roman"/>
          <w:b/>
          <w:b/>
        </w:rPr>
      </w:pPr>
      <w:r>
        <w:rPr>
          <w:rFonts w:cs="Times New Roman" w:ascii="Times New Roman" w:hAnsi="Times New Roman"/>
          <w:b/>
        </w:rPr>
      </w:r>
      <w:r>
        <mc:AlternateContent>
          <mc:Choice Requires="wps">
            <w:drawing>
              <wp:anchor behindDoc="0" distT="0" distB="0" distL="89535" distR="89535" simplePos="0" locked="0" layoutInCell="0" allowOverlap="1" relativeHeight="10">
                <wp:simplePos x="0" y="0"/>
                <wp:positionH relativeFrom="margin">
                  <wp:align>center</wp:align>
                </wp:positionH>
                <wp:positionV relativeFrom="paragraph">
                  <wp:posOffset>222885</wp:posOffset>
                </wp:positionV>
                <wp:extent cx="5923280" cy="2423160"/>
                <wp:effectExtent l="0" t="0" r="0" b="0"/>
                <wp:wrapSquare wrapText="bothSides"/>
                <wp:docPr id="9" name="Ramka2"/>
                <a:graphic xmlns:a="http://schemas.openxmlformats.org/drawingml/2006/main">
                  <a:graphicData uri="http://schemas.microsoft.com/office/word/2010/wordprocessingShape">
                    <wps:wsp>
                      <wps:cNvSpPr txBox="1"/>
                      <wps:spPr>
                        <a:xfrm>
                          <a:off x="0" y="0"/>
                          <a:ext cx="5923280" cy="2423160"/>
                        </a:xfrm>
                        <a:prstGeom prst="rect"/>
                        <a:solidFill>
                          <a:srgbClr val="FFFFFF">
                            <a:alpha val="0"/>
                          </a:srgbClr>
                        </a:solidFill>
                      </wps:spPr>
                      <wps:txbx>
                        <w:txbxContent>
                          <w:tbl>
                            <w:tblPr>
                              <w:tblW w:w="9328" w:type="dxa"/>
                              <w:jc w:val="left"/>
                              <w:tblInd w:w="-5" w:type="dxa"/>
                              <w:tblLayout w:type="fixed"/>
                              <w:tblCellMar>
                                <w:top w:w="0" w:type="dxa"/>
                                <w:left w:w="108" w:type="dxa"/>
                                <w:bottom w:w="0" w:type="dxa"/>
                                <w:right w:w="108" w:type="dxa"/>
                              </w:tblCellMar>
                            </w:tblPr>
                            <w:tblGrid>
                              <w:gridCol w:w="2218"/>
                              <w:gridCol w:w="1407"/>
                              <w:gridCol w:w="1431"/>
                              <w:gridCol w:w="1400"/>
                              <w:gridCol w:w="1431"/>
                              <w:gridCol w:w="1441"/>
                            </w:tblGrid>
                            <w:tr>
                              <w:trPr/>
                              <w:tc>
                                <w:tcPr>
                                  <w:tcW w:w="2218"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7110"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Liczba mieszkańców wg stanu na 31.12.2014 r.</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ogółem</w:t>
                                  </w:r>
                                </w:p>
                              </w:tc>
                              <w:tc>
                                <w:tcPr>
                                  <w:tcW w:w="2831" w:type="dxa"/>
                                  <w:gridSpan w:val="2"/>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mężczyźni</w:t>
                                  </w:r>
                                </w:p>
                              </w:tc>
                              <w:tc>
                                <w:tcPr>
                                  <w:tcW w:w="287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Kobiety</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4.478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2.247</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2.231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49,82%</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14.283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7.031</w:t>
                                  </w:r>
                                </w:p>
                              </w:tc>
                              <w:tc>
                                <w:tcPr>
                                  <w:tcW w:w="1400"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7.252</w:t>
                                  </w:r>
                                </w:p>
                              </w:tc>
                              <w:tc>
                                <w:tcPr>
                                  <w:tcW w:w="1441"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50,77%</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3.677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1.843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1.834</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49,88%</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rPr>
                                    <w:t>8.196</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4.086</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49,85%</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4.110</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50,15%</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7.170</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3.626</w:t>
                                  </w:r>
                                </w:p>
                              </w:tc>
                              <w:tc>
                                <w:tcPr>
                                  <w:tcW w:w="1400"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3.544</w:t>
                                  </w:r>
                                </w:p>
                              </w:tc>
                              <w:tc>
                                <w:tcPr>
                                  <w:tcW w:w="1441"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49,43%</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RAZEM</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37.804</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18.833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49,82</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18.971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50,18</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1.715.431</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835.069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48,68</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880.362</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51,32</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38.478.602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18.619.809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48,39</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19.858.793</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51,61</w:t>
                                  </w:r>
                                  <w:r>
                                    <w:rPr>
                                      <w:rFonts w:cs="Times New Roman" w:ascii="Times New Roman" w:hAnsi="Times New Roman"/>
                                      <w:b/>
                                      <w:bCs/>
                                    </w:rPr>
                                    <w:t>%</w:t>
                                  </w:r>
                                </w:p>
                              </w:tc>
                            </w:tr>
                          </w:tbl>
                        </w:txbxContent>
                      </wps:txbx>
                      <wps:bodyPr anchor="t" lIns="0" tIns="0" rIns="0" bIns="0">
                        <a:noAutofit/>
                      </wps:bodyPr>
                    </wps:wsp>
                  </a:graphicData>
                </a:graphic>
              </wp:anchor>
            </w:drawing>
          </mc:Choice>
          <mc:Fallback>
            <w:pict>
              <v:rect fillcolor="#FFFFFF" style="position:absolute;rotation:0;width:466.4pt;height:190.8pt;mso-wrap-distance-left:7.05pt;mso-wrap-distance-right:7.05pt;mso-wrap-distance-top:0pt;mso-wrap-distance-bottom:0pt;margin-top:17.55pt;mso-position-vertical-relative:text;margin-left:14.8pt;mso-position-horizontal:center;mso-position-horizontal-relative:margin">
                <v:fill opacity="0f"/>
                <v:textbox inset="0in,0in,0in,0in">
                  <w:txbxContent>
                    <w:tbl>
                      <w:tblPr>
                        <w:tblW w:w="9328" w:type="dxa"/>
                        <w:jc w:val="left"/>
                        <w:tblInd w:w="-5" w:type="dxa"/>
                        <w:tblLayout w:type="fixed"/>
                        <w:tblCellMar>
                          <w:top w:w="0" w:type="dxa"/>
                          <w:left w:w="108" w:type="dxa"/>
                          <w:bottom w:w="0" w:type="dxa"/>
                          <w:right w:w="108" w:type="dxa"/>
                        </w:tblCellMar>
                      </w:tblPr>
                      <w:tblGrid>
                        <w:gridCol w:w="2218"/>
                        <w:gridCol w:w="1407"/>
                        <w:gridCol w:w="1431"/>
                        <w:gridCol w:w="1400"/>
                        <w:gridCol w:w="1431"/>
                        <w:gridCol w:w="1441"/>
                      </w:tblGrid>
                      <w:tr>
                        <w:trPr/>
                        <w:tc>
                          <w:tcPr>
                            <w:tcW w:w="2218"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7110"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Liczba mieszkańców wg stanu na 31.12.2014 r.</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ogółem</w:t>
                            </w:r>
                          </w:p>
                        </w:tc>
                        <w:tc>
                          <w:tcPr>
                            <w:tcW w:w="2831" w:type="dxa"/>
                            <w:gridSpan w:val="2"/>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mężczyźni</w:t>
                            </w:r>
                          </w:p>
                        </w:tc>
                        <w:tc>
                          <w:tcPr>
                            <w:tcW w:w="287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Kobiety</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0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w osobach</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4.478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2.247</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50,18%</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2.231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49,82%</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14.283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7.031</w:t>
                            </w:r>
                          </w:p>
                        </w:tc>
                        <w:tc>
                          <w:tcPr>
                            <w:tcW w:w="1400"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49,23%</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7.252</w:t>
                            </w:r>
                          </w:p>
                        </w:tc>
                        <w:tc>
                          <w:tcPr>
                            <w:tcW w:w="1441"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50,77%</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3.677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1.843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1.834</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49,88%</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rPr>
                              <w:t>8.196</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4.086</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49,85%</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4.110</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50,15%</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7.170</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3.626</w:t>
                            </w:r>
                          </w:p>
                        </w:tc>
                        <w:tc>
                          <w:tcPr>
                            <w:tcW w:w="1400"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50,57%</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3.544</w:t>
                            </w:r>
                          </w:p>
                        </w:tc>
                        <w:tc>
                          <w:tcPr>
                            <w:tcW w:w="1441"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49,43%</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RAZEM</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37.804</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18.833</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49,82</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18.971</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50,18</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1.715.431</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835.069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48,68</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880.362</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51,32</w:t>
                            </w:r>
                            <w:r>
                              <w:rPr>
                                <w:rFonts w:cs="Times New Roman" w:ascii="Times New Roman" w:hAnsi="Times New Roman"/>
                                <w:b/>
                                <w:bCs/>
                              </w:rPr>
                              <w:t>%</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140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38.478.602</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18.619.809</w:t>
                            </w:r>
                          </w:p>
                        </w:tc>
                        <w:tc>
                          <w:tcPr>
                            <w:tcW w:w="140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48,39</w:t>
                            </w:r>
                            <w:r>
                              <w:rPr>
                                <w:rFonts w:cs="Times New Roman" w:ascii="Times New Roman" w:hAnsi="Times New Roman"/>
                                <w:b/>
                                <w:bCs/>
                              </w:rPr>
                              <w:t>%</w:t>
                            </w:r>
                          </w:p>
                        </w:tc>
                        <w:tc>
                          <w:tcPr>
                            <w:tcW w:w="143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19.858.793</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51,61</w:t>
                            </w:r>
                            <w:r>
                              <w:rPr>
                                <w:rFonts w:cs="Times New Roman" w:ascii="Times New Roman" w:hAnsi="Times New Roman"/>
                                <w:b/>
                                <w:bCs/>
                              </w:rPr>
                              <w:t>%</w:t>
                            </w:r>
                          </w:p>
                        </w:tc>
                      </w:tr>
                    </w:tbl>
                  </w:txbxContent>
                </v:textbox>
                <w10:wrap type="square"/>
              </v:rect>
            </w:pict>
          </mc:Fallback>
        </mc:AlternateContent>
      </w:r>
    </w:p>
    <w:p>
      <w:pPr>
        <w:pStyle w:val="Normal"/>
        <w:jc w:val="both"/>
        <w:rPr>
          <w:rFonts w:ascii="Times New Roman" w:hAnsi="Times New Roman" w:cs="Times New Roman"/>
          <w:b/>
          <w:b/>
        </w:rPr>
      </w:pPr>
      <w:r>
        <w:rPr>
          <w:rFonts w:cs="Times New Roman" w:ascii="Times New Roman" w:hAnsi="Times New Roman"/>
          <w:sz w:val="24"/>
          <w:szCs w:val="24"/>
        </w:rPr>
        <w:t xml:space="preserve">Na terenie LGD CIW występuje </w:t>
      </w:r>
      <w:r>
        <w:rPr>
          <w:rFonts w:cs="Times New Roman" w:ascii="Times New Roman" w:hAnsi="Times New Roman"/>
          <w:b/>
          <w:bCs/>
          <w:sz w:val="24"/>
          <w:szCs w:val="24"/>
        </w:rPr>
        <w:t>zbilansowana struktura płciowa mieszkańców</w:t>
      </w:r>
      <w:r>
        <w:rPr>
          <w:rFonts w:cs="Times New Roman" w:ascii="Times New Roman" w:hAnsi="Times New Roman"/>
          <w:sz w:val="24"/>
          <w:szCs w:val="24"/>
        </w:rPr>
        <w:t xml:space="preserve"> z niewielką przewagą kobiet (50,18% kobiet i 49,82% mężczyzn). </w:t>
      </w:r>
      <w:r>
        <w:rPr>
          <w:rFonts w:cs="Times New Roman" w:ascii="Times New Roman" w:hAnsi="Times New Roman"/>
          <w:iCs/>
          <w:sz w:val="24"/>
          <w:szCs w:val="24"/>
        </w:rPr>
        <w:t xml:space="preserve">Potwierdzają to dane dotyczące współczynnika feminizacji w odniesieniu do poszczególnych gmin wchodzących w skład LGD CIW. </w:t>
      </w:r>
      <w:r>
        <w:rPr>
          <w:rFonts w:cs="Times New Roman" w:ascii="Times New Roman" w:hAnsi="Times New Roman"/>
          <w:sz w:val="24"/>
          <w:szCs w:val="24"/>
        </w:rPr>
        <w:t xml:space="preserve">Współczynnik feminizacji na obszarze LGD CIW wynosił w latach 2007-2014 średnio 100-103 (w województwie zachodniopomorskim 105-106, w Polsce 107). Oznacza to, że struktura płciowa mieszkańców jest zbilansowana, a wynik ten poprawił się w ostatnich latach. </w:t>
      </w:r>
      <w:r>
        <w:rPr>
          <w:rFonts w:cs="Times New Roman" w:ascii="Times New Roman" w:hAnsi="Times New Roman"/>
          <w:iCs/>
          <w:sz w:val="24"/>
          <w:szCs w:val="24"/>
        </w:rPr>
        <w:t xml:space="preserve">Z kolei </w:t>
      </w:r>
      <w:r>
        <w:rPr>
          <w:rFonts w:cs="Times New Roman" w:ascii="Times New Roman" w:hAnsi="Times New Roman"/>
          <w:sz w:val="24"/>
          <w:szCs w:val="24"/>
        </w:rPr>
        <w:t xml:space="preserve">dane dotyczące struktury wiekowej mieszkańców obszaru LGD CIW wskazują, że mamy do czynienia na tym obszarze </w:t>
        <w:br/>
      </w:r>
      <w:r>
        <w:rPr>
          <w:rFonts w:cs="Times New Roman" w:ascii="Times New Roman" w:hAnsi="Times New Roman"/>
          <w:b/>
          <w:sz w:val="24"/>
          <w:szCs w:val="24"/>
        </w:rPr>
        <w:t>ze strukturą demograficzną zbliżoną do średnich wojewódzkiej i ogólnopolskiej</w:t>
      </w:r>
      <w:r>
        <w:rPr>
          <w:rFonts w:cs="Times New Roman" w:ascii="Times New Roman" w:hAnsi="Times New Roman"/>
          <w:sz w:val="24"/>
          <w:szCs w:val="24"/>
        </w:rPr>
        <w:t>.</w:t>
      </w:r>
    </w:p>
    <w:p>
      <w:pPr>
        <w:pStyle w:val="Normal"/>
        <w:spacing w:lineRule="auto" w:line="240" w:before="60" w:after="0"/>
        <w:rPr>
          <w:rFonts w:ascii="Times New Roman" w:hAnsi="Times New Roman" w:cs="Times New Roman"/>
          <w:b/>
          <w:b/>
        </w:rPr>
      </w:pPr>
      <w:r>
        <w:rPr>
          <w:rFonts w:cs="Times New Roman" w:ascii="Times New Roman" w:hAnsi="Times New Roman"/>
          <w:b/>
        </w:rPr>
      </w:r>
    </w:p>
    <w:tbl>
      <w:tblPr>
        <w:tblW w:w="9252" w:type="dxa"/>
        <w:jc w:val="center"/>
        <w:tblInd w:w="0" w:type="dxa"/>
        <w:tblLayout w:type="fixed"/>
        <w:tblCellMar>
          <w:top w:w="0" w:type="dxa"/>
          <w:left w:w="108" w:type="dxa"/>
          <w:bottom w:w="0" w:type="dxa"/>
          <w:right w:w="108" w:type="dxa"/>
        </w:tblCellMar>
      </w:tblPr>
      <w:tblGrid>
        <w:gridCol w:w="2303"/>
        <w:gridCol w:w="2303"/>
        <w:gridCol w:w="2303"/>
        <w:gridCol w:w="2343"/>
      </w:tblGrid>
      <w:tr>
        <w:trPr/>
        <w:tc>
          <w:tcPr>
            <w:tcW w:w="2303"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949" w:type="dxa"/>
            <w:gridSpan w:val="3"/>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Ludność wg ekonomicznych grup wieku w % ludności ogółem wg stanu na 31.12.2014 r.</w:t>
            </w:r>
          </w:p>
        </w:tc>
      </w:tr>
      <w:tr>
        <w:trPr/>
        <w:tc>
          <w:tcPr>
            <w:tcW w:w="2303"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2303"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w wieku przedprodukcyjnym</w:t>
            </w:r>
          </w:p>
        </w:tc>
        <w:tc>
          <w:tcPr>
            <w:tcW w:w="2303"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w wieku produkcyjnym</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w wieku poprodukcyjnym</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18,8%</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16,8%</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2303"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63,6%</w:t>
            </w:r>
          </w:p>
        </w:tc>
        <w:tc>
          <w:tcPr>
            <w:tcW w:w="2343" w:type="dxa"/>
            <w:tcBorders>
              <w:top w:val="single" w:sz="4" w:space="0" w:color="000000"/>
              <w:left w:val="single" w:sz="4" w:space="0" w:color="000000"/>
              <w:bottom w:val="single" w:sz="4" w:space="0" w:color="000000"/>
              <w:right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18,6%</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19,0%</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16,5%</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18,9%</w:t>
            </w:r>
          </w:p>
        </w:tc>
        <w:tc>
          <w:tcPr>
            <w:tcW w:w="2303"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62,8%</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18,3%</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2303"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19,0%</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63,1%</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17,9%</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17,5%</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63,8%</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18,7%</w:t>
            </w:r>
          </w:p>
        </w:tc>
      </w:tr>
      <w:tr>
        <w:trPr/>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18,0%</w:t>
            </w:r>
          </w:p>
        </w:tc>
        <w:tc>
          <w:tcPr>
            <w:tcW w:w="230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63,0%</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19,0%</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Szczególne istotny wydaje się tutaj odsetek osób młodych, w wieku przedprodukcyjnym. W Polsce wynosi on 18%, w województwie zachodniopomorskim 17,5% (według stanu na 31.12.2014 r.). Tymczasem spośród 5 analizowanych gmin, tylko w jednej udział osób w wieku przedprodukcyjnym jest niższy niż wynikałoby z danych ogólnopolskich (gmina Łobez, -0,1%), zaś w pozostałych gminach odsetek ten przekracza 18% (najwyższy zanotowany wynik dotyczy gmin Radowo Małe i Węgorzyno: 19,0%).</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Także odsetek osób w wieku produkcyjnym na analizowanym terenie jest zbliżony do średniej ogólnopolskiej (63%) i wojewódzkiej (63,8%). Ponownie, tylko w jednej z analizowanych gmin (Resko) udział ludności produkcyjnej jest niższy niż przytoczone średnie (-0,2%). Pozostałe gminy cechuje wysoki odsetek ludności w wieku produkcyjnym (najwyższa odnotowana wartość wystąpiła w gminach Dobra i Radowo Małe – 64,5%).</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przypadku analizy odsetka osób w wieku poprodukcyjnym, na całym obszarze LGD CIW dane są lepsze niż średnia ogólnopolska i wojewódzka. Najniższy odsetek osób starszych wystąpił w gminie Radowo Małe (16,5%) i Dobra (16,8%), najwyższy zaś w gminie Łobez (18,6%, zbliżony do średniej wojewódzkiej).</w:t>
        <w:tab/>
      </w:r>
    </w:p>
    <w:p>
      <w:pPr>
        <w:pStyle w:val="Normal"/>
        <w:jc w:val="both"/>
        <w:rPr>
          <w:rFonts w:ascii="Times New Roman" w:hAnsi="Times New Roman" w:cs="Times New Roman"/>
        </w:rPr>
      </w:pPr>
      <w:r>
        <w:rPr>
          <w:rFonts w:cs="Times New Roman" w:ascii="Times New Roman" w:hAnsi="Times New Roman"/>
          <w:sz w:val="24"/>
          <w:szCs w:val="24"/>
        </w:rPr>
        <w:t xml:space="preserve">Dane w tabeli powyżej pokazują wyraźnie, że </w:t>
      </w:r>
      <w:r>
        <w:rPr>
          <w:rFonts w:cs="Times New Roman" w:ascii="Times New Roman" w:hAnsi="Times New Roman"/>
          <w:b/>
          <w:bCs/>
          <w:sz w:val="24"/>
          <w:szCs w:val="24"/>
        </w:rPr>
        <w:t>na całym analizowany obszarze zmniejsza się liczba osób młodych (w wieku przedprodukcyjnym), a zjawisko to jest bardziej dynamiczne niż w skali województwa zachodniopomorskiego czy Polski</w:t>
      </w:r>
      <w:r>
        <w:rPr>
          <w:rFonts w:cs="Times New Roman" w:ascii="Times New Roman" w:hAnsi="Times New Roman"/>
          <w:sz w:val="24"/>
          <w:szCs w:val="24"/>
        </w:rPr>
        <w:t xml:space="preserve">. Szczególnie wyraźne zmiany dotknęły gminę Radowo Małe (ubytek na poziomie -3,6%). Wskazuje to, że w kolejnych latach </w:t>
      </w:r>
      <w:r>
        <w:rPr>
          <w:rFonts w:cs="Times New Roman" w:ascii="Times New Roman" w:hAnsi="Times New Roman"/>
          <w:b/>
          <w:bCs/>
          <w:sz w:val="24"/>
          <w:szCs w:val="24"/>
        </w:rPr>
        <w:t>struktura demograficzna systematycznie pogarsza się.</w:t>
      </w:r>
      <w:r>
        <mc:AlternateContent>
          <mc:Choice Requires="wps">
            <w:drawing>
              <wp:anchor behindDoc="0" distT="0" distB="0" distL="89535" distR="89535" simplePos="0" locked="0" layoutInCell="0" allowOverlap="1" relativeHeight="11">
                <wp:simplePos x="0" y="0"/>
                <wp:positionH relativeFrom="margin">
                  <wp:align>center</wp:align>
                </wp:positionH>
                <wp:positionV relativeFrom="paragraph">
                  <wp:posOffset>-34925</wp:posOffset>
                </wp:positionV>
                <wp:extent cx="5923280" cy="2655570"/>
                <wp:effectExtent l="0" t="0" r="0" b="0"/>
                <wp:wrapSquare wrapText="bothSides"/>
                <wp:docPr id="10" name="Ramka3"/>
                <a:graphic xmlns:a="http://schemas.openxmlformats.org/drawingml/2006/main">
                  <a:graphicData uri="http://schemas.microsoft.com/office/word/2010/wordprocessingShape">
                    <wps:wsp>
                      <wps:cNvSpPr txBox="1"/>
                      <wps:spPr>
                        <a:xfrm>
                          <a:off x="0" y="0"/>
                          <a:ext cx="5923280" cy="2655570"/>
                        </a:xfrm>
                        <a:prstGeom prst="rect"/>
                        <a:solidFill>
                          <a:srgbClr val="FFFFFF">
                            <a:alpha val="0"/>
                          </a:srgbClr>
                        </a:solidFill>
                      </wps:spPr>
                      <wps:txbx>
                        <w:txbxContent>
                          <w:tbl>
                            <w:tblPr>
                              <w:tblW w:w="9328" w:type="dxa"/>
                              <w:jc w:val="left"/>
                              <w:tblInd w:w="-5" w:type="dxa"/>
                              <w:tblLayout w:type="fixed"/>
                              <w:tblCellMar>
                                <w:top w:w="0" w:type="dxa"/>
                                <w:left w:w="108" w:type="dxa"/>
                                <w:bottom w:w="0" w:type="dxa"/>
                                <w:right w:w="108" w:type="dxa"/>
                              </w:tblCellMar>
                            </w:tblPr>
                            <w:tblGrid>
                              <w:gridCol w:w="2217"/>
                              <w:gridCol w:w="772"/>
                              <w:gridCol w:w="772"/>
                              <w:gridCol w:w="770"/>
                              <w:gridCol w:w="769"/>
                              <w:gridCol w:w="768"/>
                              <w:gridCol w:w="768"/>
                              <w:gridCol w:w="767"/>
                              <w:gridCol w:w="768"/>
                              <w:gridCol w:w="957"/>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154"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Ludność w wieku przedprodukcyjnym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21,9%</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18,4%</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72"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22,6%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color w:val="FF0000"/>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color w:val="FF0000"/>
                                    </w:rPr>
                                    <w:t>-3,6%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21,3%</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-2,6%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21,4%</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21,0%</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19,5</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19,1</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17,9</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17,7</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17,5</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w:t>
                                  </w:r>
                                  <w:r>
                                    <w:rPr>
                                      <w:rFonts w:cs="Times New Roman" w:ascii="Times New Roman" w:hAnsi="Times New Roman"/>
                                    </w:rPr>
                                    <w:t>%</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19,6</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19,3</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18,9</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18,3</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18,0</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-1,6</w:t>
                                  </w:r>
                                  <w:r>
                                    <w:rPr>
                                      <w:rFonts w:cs="Times New Roman" w:ascii="Times New Roman" w:hAnsi="Times New Roman"/>
                                    </w:rPr>
                                    <w:t>%</w:t>
                                  </w:r>
                                </w:p>
                              </w:tc>
                            </w:tr>
                          </w:tbl>
                        </w:txbxContent>
                      </wps:txbx>
                      <wps:bodyPr anchor="t" lIns="0" tIns="0" rIns="0" bIns="0">
                        <a:noAutofit/>
                      </wps:bodyPr>
                    </wps:wsp>
                  </a:graphicData>
                </a:graphic>
              </wp:anchor>
            </w:drawing>
          </mc:Choice>
          <mc:Fallback>
            <w:pict>
              <v:rect fillcolor="#FFFFFF" style="position:absolute;rotation:0;width:466.4pt;height:209.1pt;mso-wrap-distance-left:7.05pt;mso-wrap-distance-right:7.05pt;mso-wrap-distance-top:0pt;mso-wrap-distance-bottom:0pt;margin-top:-2.75pt;mso-position-vertical-relative:text;margin-left:14.8pt;mso-position-horizontal:center;mso-position-horizontal-relative:margin">
                <v:fill opacity="0f"/>
                <v:textbox inset="0in,0in,0in,0in">
                  <w:txbxContent>
                    <w:tbl>
                      <w:tblPr>
                        <w:tblW w:w="9328" w:type="dxa"/>
                        <w:jc w:val="left"/>
                        <w:tblInd w:w="-5" w:type="dxa"/>
                        <w:tblLayout w:type="fixed"/>
                        <w:tblCellMar>
                          <w:top w:w="0" w:type="dxa"/>
                          <w:left w:w="108" w:type="dxa"/>
                          <w:bottom w:w="0" w:type="dxa"/>
                          <w:right w:w="108" w:type="dxa"/>
                        </w:tblCellMar>
                      </w:tblPr>
                      <w:tblGrid>
                        <w:gridCol w:w="2217"/>
                        <w:gridCol w:w="772"/>
                        <w:gridCol w:w="772"/>
                        <w:gridCol w:w="770"/>
                        <w:gridCol w:w="769"/>
                        <w:gridCol w:w="768"/>
                        <w:gridCol w:w="768"/>
                        <w:gridCol w:w="767"/>
                        <w:gridCol w:w="768"/>
                        <w:gridCol w:w="957"/>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154"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Ludność w wieku przedprodukcyjnym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21,9%</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18,4%</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768"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72"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22,6%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color w:val="FF0000"/>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color w:val="FF0000"/>
                              </w:rPr>
                              <w:t>-3,6%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21,3%</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21,1%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20,5%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-2,6%</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21,4%</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21,0%</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19,5</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19,1</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17,9</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17,7</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17,5</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-2,0</w:t>
                            </w:r>
                            <w:r>
                              <w:rPr>
                                <w:rFonts w:cs="Times New Roman" w:ascii="Times New Roman" w:hAnsi="Times New Roman"/>
                              </w:rPr>
                              <w:t>%</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19,6</w:t>
                            </w:r>
                            <w:r>
                              <w:rPr>
                                <w:rFonts w:cs="Times New Roman" w:ascii="Times New Roman" w:hAnsi="Times New Roman"/>
                              </w:rPr>
                              <w:t>%</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19,3</w:t>
                            </w:r>
                            <w:r>
                              <w:rPr>
                                <w:rFonts w:cs="Times New Roman" w:ascii="Times New Roman" w:hAnsi="Times New Roman"/>
                              </w:rPr>
                              <w:t>%</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18,9</w:t>
                            </w:r>
                            <w:r>
                              <w:rPr>
                                <w:rFonts w:cs="Times New Roman" w:ascii="Times New Roman" w:hAnsi="Times New Roman"/>
                              </w:rPr>
                              <w:t>%</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18,8</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18,5</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18,3</w:t>
                            </w:r>
                            <w:r>
                              <w:rPr>
                                <w:rFonts w:cs="Times New Roman" w:ascii="Times New Roman" w:hAnsi="Times New Roman"/>
                              </w:rPr>
                              <w:t>%</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18,2</w:t>
                            </w:r>
                            <w:r>
                              <w:rPr>
                                <w:rFonts w:cs="Times New Roman" w:ascii="Times New Roman" w:hAnsi="Times New Roman"/>
                              </w:rPr>
                              <w:t>%</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18,0</w:t>
                            </w:r>
                            <w:r>
                              <w:rPr>
                                <w:rFonts w:cs="Times New Roman"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-1,6</w:t>
                            </w:r>
                            <w:r>
                              <w:rPr>
                                <w:rFonts w:cs="Times New Roman" w:ascii="Times New Roman" w:hAnsi="Times New Roman"/>
                              </w:rPr>
                              <w:t>%</w:t>
                            </w:r>
                          </w:p>
                        </w:tc>
                      </w:tr>
                    </w:tbl>
                  </w:txbxContent>
                </v:textbox>
                <w10:wrap type="square"/>
              </v:rect>
            </w:pict>
          </mc:Fallback>
        </mc:AlternateContent>
      </w:r>
    </w:p>
    <w:p>
      <w:pPr>
        <w:pStyle w:val="Normal"/>
        <w:spacing w:lineRule="auto" w:line="240" w:before="60" w:after="0"/>
        <w:rPr>
          <w:rFonts w:ascii="Times New Roman" w:hAnsi="Times New Roman" w:cs="Times New Roman"/>
        </w:rPr>
      </w:pPr>
      <w:r>
        <w:rPr>
          <w:rFonts w:cs="Times New Roman" w:ascii="Times New Roman" w:hAnsi="Times New Roman"/>
        </w:rPr>
      </w:r>
    </w:p>
    <w:tbl>
      <w:tblPr>
        <w:tblW w:w="9900" w:type="dxa"/>
        <w:jc w:val="center"/>
        <w:tblInd w:w="0" w:type="dxa"/>
        <w:tblLayout w:type="fixed"/>
        <w:tblCellMar>
          <w:top w:w="0" w:type="dxa"/>
          <w:left w:w="108" w:type="dxa"/>
          <w:bottom w:w="0" w:type="dxa"/>
          <w:right w:w="108" w:type="dxa"/>
        </w:tblCellMar>
      </w:tblPr>
      <w:tblGrid>
        <w:gridCol w:w="2789"/>
        <w:gridCol w:w="772"/>
        <w:gridCol w:w="772"/>
        <w:gridCol w:w="770"/>
        <w:gridCol w:w="769"/>
        <w:gridCol w:w="768"/>
        <w:gridCol w:w="768"/>
        <w:gridCol w:w="767"/>
        <w:gridCol w:w="768"/>
        <w:gridCol w:w="957"/>
      </w:tblGrid>
      <w:tr>
        <w:trPr/>
        <w:tc>
          <w:tcPr>
            <w:tcW w:w="2789"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154"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789"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14,4%</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14,5%</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15,5%</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16,2%</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2,4%</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14,5%</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14,9%</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16,8%</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17,5%</w:t>
            </w:r>
          </w:p>
        </w:tc>
        <w:tc>
          <w:tcPr>
            <w:tcW w:w="768"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color w:val="FF0000"/>
              </w:rPr>
            </w:pPr>
            <w:r>
              <w:rPr>
                <w:rFonts w:cs="Times New Roman" w:ascii="Times New Roman" w:hAnsi="Times New Roman"/>
              </w:rPr>
              <w:t>18,6%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color w:val="FF0000"/>
              </w:rPr>
              <w:t>4,1%</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72"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13,5%</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13,7%</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13,8%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15,4%</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3,0%</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14,9%</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15,2%</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15,7%</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16,8%</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17,5%</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18,3%</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3,4%</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16,3%</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16,0%</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16,6%</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1,6%</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14,7%</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14,9%</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15,1%</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15,6%</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16,2%</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2,9%</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pPr>
            <w:r>
              <w:rPr>
                <w:rFonts w:cs="Times New Roman" w:ascii="Times New Roman" w:hAnsi="Times New Roman"/>
                <w:b/>
              </w:rPr>
              <w:t>woj. zachodniopomorskie</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14,6%</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15,0%</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15,7%</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17,1%</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17,9%</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4,1%</w:t>
            </w:r>
          </w:p>
        </w:tc>
      </w:tr>
      <w:tr>
        <w:trPr/>
        <w:tc>
          <w:tcPr>
            <w:tcW w:w="27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16,0%</w:t>
            </w:r>
          </w:p>
        </w:tc>
        <w:tc>
          <w:tcPr>
            <w:tcW w:w="772"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16,2%</w:t>
            </w:r>
          </w:p>
        </w:tc>
        <w:tc>
          <w:tcPr>
            <w:tcW w:w="770"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16,8%</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17,3%</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17,8%</w:t>
            </w:r>
          </w:p>
        </w:tc>
        <w:tc>
          <w:tcPr>
            <w:tcW w:w="767"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18,4%</w:t>
            </w:r>
          </w:p>
        </w:tc>
        <w:tc>
          <w:tcPr>
            <w:tcW w:w="768"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19,0%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3,0%</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pPr>
      <w:r>
        <w:rPr>
          <w:rFonts w:cs="Times New Roman" w:ascii="Times New Roman" w:hAnsi="Times New Roman"/>
          <w:sz w:val="24"/>
          <w:szCs w:val="24"/>
        </w:rPr>
        <w:t xml:space="preserve">Dane przedstawione wcześniej są zgodne także z wynikami analizy zmiany odsetka osób w wieku poprodukcyjnym. </w:t>
        <w:br/>
      </w:r>
      <w:r>
        <w:rPr>
          <w:rFonts w:cs="Times New Roman" w:ascii="Times New Roman" w:hAnsi="Times New Roman"/>
          <w:b/>
          <w:bCs/>
          <w:sz w:val="24"/>
          <w:szCs w:val="24"/>
        </w:rPr>
        <w:t>Na całym analizowanym obszarze wzrasta udział osób starszych, w wieku poprodukcyjnym</w:t>
      </w:r>
      <w:r>
        <w:rPr>
          <w:rFonts w:cs="Times New Roman" w:ascii="Times New Roman" w:hAnsi="Times New Roman"/>
          <w:sz w:val="24"/>
          <w:szCs w:val="24"/>
        </w:rPr>
        <w:t>. Największy wzrost wystąpił w gminie Łobez (4,1%) i osiągnął poziom zbliżony do średniej dla województwa zachodniopomorskiego, najmniejszy przyrost charakteryzuje gminę Węgorzyno (1,6%).</w:t>
      </w:r>
    </w:p>
    <w:p>
      <w:pPr>
        <w:pStyle w:val="Normal"/>
        <w:spacing w:lineRule="auto" w:line="240" w:before="60" w:after="0"/>
        <w:jc w:val="both"/>
        <w:rPr>
          <w:rFonts w:ascii="Times New Roman" w:hAnsi="Times New Roman" w:cs="Times New Roman"/>
          <w:iCs/>
          <w:sz w:val="24"/>
          <w:szCs w:val="24"/>
        </w:rPr>
      </w:pPr>
      <w:r>
        <w:rPr>
          <w:rFonts w:cs="Times New Roman" w:ascii="Times New Roman" w:hAnsi="Times New Roman"/>
          <w:sz w:val="24"/>
          <w:szCs w:val="24"/>
        </w:rPr>
        <w:t xml:space="preserve">Dla oceny działań o charakterze strategicznym niezbędne jest także przeanalizowanie wieloletnich trendów odnoszących się do struktury wiekowej ludności. </w:t>
      </w:r>
      <w:r>
        <w:rPr>
          <w:rFonts w:cs="Times New Roman" w:ascii="Times New Roman" w:hAnsi="Times New Roman"/>
          <w:iCs/>
          <w:sz w:val="24"/>
          <w:szCs w:val="24"/>
        </w:rPr>
        <w:t xml:space="preserve">Prognozy demograficzne GUS przewidują utrzymanie się wykrytych trendów w perspektywie średnio- i długoterminowej. Zgodnie z tymi przewidywaniami </w:t>
      </w:r>
      <w:r>
        <w:rPr>
          <w:rFonts w:cs="Times New Roman" w:ascii="Times New Roman" w:hAnsi="Times New Roman"/>
          <w:b/>
          <w:iCs/>
          <w:sz w:val="24"/>
          <w:szCs w:val="24"/>
        </w:rPr>
        <w:t>w kolejnych latach konieczne będzie uwzględnienie w większym zakresie potrzeb osób starszych</w:t>
      </w:r>
      <w:r>
        <w:rPr>
          <w:rFonts w:cs="Times New Roman" w:ascii="Times New Roman" w:hAnsi="Times New Roman"/>
          <w:iCs/>
          <w:sz w:val="24"/>
          <w:szCs w:val="24"/>
        </w:rPr>
        <w:t>, w wieku poprodukcyjnym, bo to one będą najszybciej przyrastającą grupą ekonomiczną ludności.</w:t>
      </w:r>
    </w:p>
    <w:p>
      <w:pPr>
        <w:pStyle w:val="Normal"/>
        <w:spacing w:lineRule="auto" w:line="240" w:before="60" w:after="0"/>
        <w:rPr>
          <w:rFonts w:ascii="Times New Roman" w:hAnsi="Times New Roman" w:cs="Times New Roman"/>
          <w:iCs/>
          <w:sz w:val="24"/>
          <w:szCs w:val="24"/>
        </w:rPr>
      </w:pPr>
      <w:r>
        <w:rPr>
          <w:rFonts w:cs="Times New Roman" w:ascii="Times New Roman" w:hAnsi="Times New Roman"/>
          <w:iCs/>
          <w:sz w:val="24"/>
          <w:szCs w:val="24"/>
        </w:rPr>
      </w:r>
    </w:p>
    <w:tbl>
      <w:tblPr>
        <w:tblW w:w="9252" w:type="dxa"/>
        <w:jc w:val="center"/>
        <w:tblInd w:w="0" w:type="dxa"/>
        <w:tblLayout w:type="fixed"/>
        <w:tblCellMar>
          <w:top w:w="0" w:type="dxa"/>
          <w:left w:w="108" w:type="dxa"/>
          <w:bottom w:w="0" w:type="dxa"/>
          <w:right w:w="108" w:type="dxa"/>
        </w:tblCellMar>
      </w:tblPr>
      <w:tblGrid>
        <w:gridCol w:w="4606"/>
        <w:gridCol w:w="4646"/>
      </w:tblGrid>
      <w:tr>
        <w:trPr>
          <w:trHeight w:val="470" w:hRule="atLeast"/>
        </w:trPr>
        <w:tc>
          <w:tcPr>
            <w:tcW w:w="4606"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Prognoza demograficzna na lata 2020-2035</w:t>
            </w:r>
          </w:p>
        </w:tc>
        <w:tc>
          <w:tcPr>
            <w:tcW w:w="4646" w:type="dxa"/>
            <w:tcBorders>
              <w:top w:val="single" w:sz="4" w:space="0" w:color="000000"/>
              <w:left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Powiat</w:t>
            </w:r>
            <w:r>
              <w:rPr>
                <w:rFonts w:cs="Times New Roman" w:ascii="Times New Roman" w:hAnsi="Times New Roman"/>
              </w:rPr>
              <w:t xml:space="preserve"> </w:t>
            </w:r>
            <w:r>
              <w:rPr>
                <w:rFonts w:cs="Times New Roman" w:ascii="Times New Roman" w:hAnsi="Times New Roman"/>
                <w:b/>
              </w:rPr>
              <w:t>łobeski</w:t>
            </w:r>
          </w:p>
        </w:tc>
      </w:tr>
      <w:tr>
        <w:trPr/>
        <w:tc>
          <w:tcPr>
            <w:tcW w:w="9252" w:type="dxa"/>
            <w:gridSpan w:val="2"/>
            <w:tcBorders>
              <w:top w:val="single" w:sz="4" w:space="0" w:color="000000"/>
              <w:left w:val="single" w:sz="4" w:space="0" w:color="000000"/>
              <w:bottom w:val="single" w:sz="4" w:space="0" w:color="000000"/>
              <w:right w:val="single" w:sz="4" w:space="0" w:color="000000"/>
            </w:tcBorders>
            <w:shd w:fill="99FFCC" w:val="clear"/>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przedprodukcyjnym w roku (w osobach)</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6.480</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6.020</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5.264</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4.790</w:t>
            </w:r>
          </w:p>
        </w:tc>
      </w:tr>
      <w:tr>
        <w:trPr/>
        <w:tc>
          <w:tcPr>
            <w:tcW w:w="4606" w:type="dxa"/>
            <w:tcBorders>
              <w:top w:val="single" w:sz="4" w:space="0" w:color="000000"/>
              <w:left w:val="single" w:sz="4" w:space="0" w:color="000000"/>
              <w:bottom w:val="single" w:sz="4" w:space="0" w:color="000000"/>
            </w:tcBorders>
            <w:shd w:fill="99FFCC" w:val="clear"/>
            <w:vAlign w:val="center"/>
          </w:tcPr>
          <w:p>
            <w:pPr>
              <w:pStyle w:val="Normal"/>
              <w:autoSpaceDE w:val="false"/>
              <w:spacing w:lineRule="auto" w:line="240" w:before="60" w:after="0"/>
              <w:jc w:val="right"/>
              <w:rPr>
                <w:rFonts w:ascii="Times New Roman" w:hAnsi="Times New Roman" w:cs="Times New Roman"/>
                <w:b/>
                <w:b/>
                <w:color w:val="FF0000"/>
              </w:rPr>
            </w:pPr>
            <w:r>
              <w:rPr>
                <w:rFonts w:cs="Times New Roman"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-1.690</w:t>
            </w:r>
          </w:p>
        </w:tc>
      </w:tr>
      <w:tr>
        <w:trPr/>
        <w:tc>
          <w:tcPr>
            <w:tcW w:w="9252" w:type="dxa"/>
            <w:gridSpan w:val="2"/>
            <w:tcBorders>
              <w:top w:val="single" w:sz="4" w:space="0" w:color="000000"/>
              <w:left w:val="single" w:sz="4" w:space="0" w:color="000000"/>
              <w:bottom w:val="single" w:sz="4" w:space="0" w:color="000000"/>
              <w:right w:val="single" w:sz="4" w:space="0" w:color="000000"/>
            </w:tcBorders>
            <w:shd w:fill="FFCC00" w:val="clear"/>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produkcyjnym w roku (w osobach)</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22.787</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21.361</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20.583</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19.823</w:t>
            </w:r>
          </w:p>
        </w:tc>
      </w:tr>
      <w:tr>
        <w:trPr/>
        <w:tc>
          <w:tcPr>
            <w:tcW w:w="4606" w:type="dxa"/>
            <w:tcBorders>
              <w:top w:val="single" w:sz="4" w:space="0" w:color="000000"/>
              <w:left w:val="single" w:sz="4" w:space="0" w:color="000000"/>
              <w:bottom w:val="single" w:sz="4" w:space="0" w:color="000000"/>
            </w:tcBorders>
            <w:shd w:fill="FFCC00" w:val="clear"/>
            <w:vAlign w:val="center"/>
          </w:tcPr>
          <w:p>
            <w:pPr>
              <w:pStyle w:val="Normal"/>
              <w:autoSpaceDE w:val="false"/>
              <w:spacing w:lineRule="auto" w:line="240" w:before="60" w:after="0"/>
              <w:jc w:val="right"/>
              <w:rPr>
                <w:rFonts w:ascii="Times New Roman" w:hAnsi="Times New Roman" w:cs="Times New Roman"/>
                <w:b/>
                <w:b/>
                <w:color w:val="FF0000"/>
              </w:rPr>
            </w:pPr>
            <w:r>
              <w:rPr>
                <w:rFonts w:cs="Times New Roman"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-2.964</w:t>
            </w:r>
          </w:p>
        </w:tc>
      </w:tr>
      <w:tr>
        <w:trPr/>
        <w:tc>
          <w:tcPr>
            <w:tcW w:w="9252" w:type="dxa"/>
            <w:gridSpan w:val="2"/>
            <w:tcBorders>
              <w:top w:val="single" w:sz="4" w:space="0" w:color="000000"/>
              <w:left w:val="single" w:sz="4" w:space="0" w:color="000000"/>
              <w:bottom w:val="single" w:sz="4" w:space="0" w:color="000000"/>
              <w:right w:val="single" w:sz="4" w:space="0" w:color="000000"/>
            </w:tcBorders>
            <w:shd w:fill="FFCC99" w:val="clear"/>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poprodukcyjnym w roku (w osobach)</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7.223</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7.940</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8.198</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rPr>
            </w:pPr>
            <w:r>
              <w:rPr>
                <w:rFonts w:cs="Times New Roman"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8.014</w:t>
            </w:r>
          </w:p>
        </w:tc>
      </w:tr>
      <w:tr>
        <w:trPr/>
        <w:tc>
          <w:tcPr>
            <w:tcW w:w="4606" w:type="dxa"/>
            <w:tcBorders>
              <w:top w:val="single" w:sz="4" w:space="0" w:color="000000"/>
              <w:left w:val="single" w:sz="4" w:space="0" w:color="000000"/>
              <w:bottom w:val="single" w:sz="4" w:space="0" w:color="000000"/>
            </w:tcBorders>
            <w:shd w:fill="FFCC99" w:val="clear"/>
            <w:vAlign w:val="center"/>
          </w:tcPr>
          <w:p>
            <w:pPr>
              <w:pStyle w:val="Normal"/>
              <w:autoSpaceDE w:val="false"/>
              <w:spacing w:lineRule="auto" w:line="240" w:before="60" w:after="0"/>
              <w:jc w:val="right"/>
              <w:rPr>
                <w:rFonts w:ascii="Times New Roman" w:hAnsi="Times New Roman" w:cs="Times New Roman"/>
                <w:b/>
                <w:b/>
                <w:color w:val="00B050"/>
              </w:rPr>
            </w:pPr>
            <w:r>
              <w:rPr>
                <w:rFonts w:cs="Times New Roman"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color w:val="00B050"/>
              </w:rPr>
              <w:t>+791</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Opisaną zależność wyraźnie potwierdzają zestawy wskaźników obciążeń demograficznych. Pierwszy z nich pokazuje jak wiele osób w wieku nieprodukcyjnym przypada na 100 osób w wieku produkcyjnym. Im wyższa wartość, tym większe obciążenie demograficzne – jedna osoba pracująca musi bowiem utrzymać większą liczbę osób pozostających bez pracy (dzieci i osoby starsze). Średnia wojewódzka w tym wypadku wyniosła w 2014 roku 56,7, a ogólnopolska 58,8. Wyniki dla obszaru LDG CIW są gorsze od średniej wojewódzkiej i nieznacznie lepsze niż dane ogólnokrajowe. W trzech gminach (Dobra, Radowo Małe, Węgorzyno) wartość wskaźnika zmiany była ujemna. W dwóch pozostałych gminach nastąpił jednak stosunkowo dynamiczny przyrost (na poziomie 3 i 4%).</w:t>
      </w:r>
    </w:p>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bl>
      <w:tblPr>
        <w:tblW w:w="10201" w:type="dxa"/>
        <w:jc w:val="center"/>
        <w:tblInd w:w="0" w:type="dxa"/>
        <w:tblLayout w:type="fixed"/>
        <w:tblCellMar>
          <w:top w:w="0" w:type="dxa"/>
          <w:left w:w="108" w:type="dxa"/>
          <w:bottom w:w="0" w:type="dxa"/>
          <w:right w:w="108" w:type="dxa"/>
        </w:tblCellMar>
      </w:tblPr>
      <w:tblGrid>
        <w:gridCol w:w="2689"/>
        <w:gridCol w:w="869"/>
        <w:gridCol w:w="769"/>
        <w:gridCol w:w="769"/>
        <w:gridCol w:w="769"/>
        <w:gridCol w:w="769"/>
        <w:gridCol w:w="769"/>
        <w:gridCol w:w="769"/>
        <w:gridCol w:w="769"/>
        <w:gridCol w:w="1260"/>
      </w:tblGrid>
      <w:tr>
        <w:trPr/>
        <w:tc>
          <w:tcPr>
            <w:tcW w:w="2689"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Gmina</w:t>
            </w:r>
          </w:p>
        </w:tc>
        <w:tc>
          <w:tcPr>
            <w:tcW w:w="6252"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Ludność w wieku nieprodukcyjnym na 100 osób w wieku produkcyjnym</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689"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c>
          <w:tcPr>
            <w:tcW w:w="8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2013</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2014</w:t>
            </w:r>
          </w:p>
        </w:tc>
        <w:tc>
          <w:tcPr>
            <w:tcW w:w="1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-1,9</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54,2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color w:val="FF0000"/>
              </w:rPr>
            </w:pPr>
            <w:r>
              <w:rPr>
                <w:rFonts w:cs="Times New Roman" w:ascii="Times New Roman" w:hAnsi="Times New Roman"/>
              </w:rPr>
              <w:t>57,4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b/>
                <w:color w:val="FF0000"/>
              </w:rPr>
              <w:t>4,5</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53,5</w:t>
            </w:r>
          </w:p>
        </w:tc>
        <w:tc>
          <w:tcPr>
            <w:tcW w:w="769"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52,7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53,4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-1,5</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59,2</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3,1</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869" w:type="dxa"/>
            <w:tcBorders>
              <w:top w:val="single" w:sz="4" w:space="0" w:color="000000"/>
              <w:left w:val="single" w:sz="4" w:space="0" w:color="000000"/>
              <w:bottom w:val="single" w:sz="4" w:space="0" w:color="000000"/>
            </w:tcBorders>
            <w:shd w:fill="99FFCC" w:val="clear"/>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60,9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60,3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59,5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56,6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57,5</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rPr>
            </w:pPr>
            <w:r>
              <w:rPr>
                <w:rFonts w:cs="Times New Roman" w:ascii="Times New Roman" w:hAnsi="Times New Roman"/>
              </w:rPr>
              <w:t>58,4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rPr>
              <w:t>-2,5</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56,7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pPr>
            <w:r>
              <w:rPr>
                <w:rFonts w:cs="Times New Roman" w:ascii="Times New Roman" w:hAnsi="Times New Roman"/>
                <w:b/>
              </w:rPr>
              <w:t>56,0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54,3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54,9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54,9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55,4</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57,0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0,3</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51,7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51,7</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51,9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52,0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52,9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53,9</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56,7</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5,0</w:t>
            </w:r>
          </w:p>
        </w:tc>
      </w:tr>
      <w:tr>
        <w:trPr/>
        <w:tc>
          <w:tcPr>
            <w:tcW w:w="2689"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8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55,0</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55,8</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right="-57" w:hanging="0"/>
              <w:jc w:val="center"/>
              <w:rPr>
                <w:rFonts w:ascii="Times New Roman" w:hAnsi="Times New Roman" w:cs="Times New Roman"/>
                <w:b/>
                <w:b/>
              </w:rPr>
            </w:pPr>
            <w:r>
              <w:rPr>
                <w:rFonts w:cs="Times New Roman" w:ascii="Times New Roman" w:hAnsi="Times New Roman"/>
                <w:b/>
              </w:rPr>
              <w:t>56,6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left="-57" w:right="-57" w:hanging="0"/>
              <w:jc w:val="center"/>
              <w:rPr>
                <w:rFonts w:ascii="Times New Roman" w:hAnsi="Times New Roman" w:cs="Times New Roman"/>
                <w:b/>
                <w:b/>
              </w:rPr>
            </w:pPr>
            <w:r>
              <w:rPr>
                <w:rFonts w:cs="Times New Roman" w:ascii="Times New Roman" w:hAnsi="Times New Roman"/>
                <w:b/>
              </w:rPr>
              <w:t>57,6</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ind w:right="-57" w:hanging="0"/>
              <w:jc w:val="center"/>
              <w:rPr>
                <w:rFonts w:ascii="Times New Roman" w:hAnsi="Times New Roman" w:cs="Times New Roman"/>
                <w:b/>
                <w:b/>
              </w:rPr>
            </w:pPr>
            <w:r>
              <w:rPr>
                <w:rFonts w:cs="Times New Roman" w:ascii="Times New Roman" w:hAnsi="Times New Roman"/>
                <w:b/>
              </w:rPr>
              <w:t>58,8</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ind w:left="-57" w:right="-57" w:hanging="0"/>
              <w:jc w:val="center"/>
              <w:rPr>
                <w:rFonts w:ascii="Times New Roman" w:hAnsi="Times New Roman" w:cs="Times New Roman"/>
                <w:i/>
                <w:i/>
                <w:iCs/>
              </w:rPr>
            </w:pPr>
            <w:r>
              <w:rPr>
                <w:rFonts w:cs="Times New Roman" w:ascii="Times New Roman" w:hAnsi="Times New Roman"/>
                <w:b/>
              </w:rPr>
              <w:t>3,5</w:t>
            </w:r>
          </w:p>
        </w:tc>
      </w:tr>
    </w:tbl>
    <w:p>
      <w:pPr>
        <w:pStyle w:val="Normal"/>
        <w:autoSpaceDE w:val="false"/>
        <w:spacing w:lineRule="auto" w:line="240" w:before="60" w:after="0"/>
        <w:rPr>
          <w:rFonts w:ascii="Times New Roman" w:hAnsi="Times New Roman" w:cs="Times New Roman"/>
        </w:rPr>
      </w:pPr>
      <w:r>
        <w:rPr>
          <w:rFonts w:cs="Times New Roman" w:ascii="Times New Roman" w:hAnsi="Times New Roman"/>
        </w:rPr>
      </w:r>
    </w:p>
    <w:p>
      <w:pPr>
        <w:pStyle w:val="Normal"/>
        <w:autoSpaceDE w:val="false"/>
        <w:spacing w:lineRule="auto" w:line="240" w:before="60" w:after="0"/>
        <w:jc w:val="both"/>
        <w:rPr/>
      </w:pPr>
      <w:r>
        <w:rPr>
          <w:rFonts w:cs="Times New Roman" w:ascii="Times New Roman" w:hAnsi="Times New Roman"/>
          <w:sz w:val="24"/>
          <w:szCs w:val="24"/>
        </w:rPr>
        <w:t xml:space="preserve">Największe wewnętrzne zróżnicowanie między gminami należącymi do LGD CIW ujawnia się w analizie drugiego wskaźnika obciążenia demograficznego. Pokazuje on liczbę osób w wieku poprodukcyjnym na 100 osób w wieku przedprodukcyjnym (stosunek liczby osób starszych do liczby dzieci). W skali Polski i województwa zachodniopomorskiego w 2013 i 2014 r. wskaźnik przekroczył wartość 100 (co oznacza, że liczebność osób starszych przekroczyła liczebność osób młodych). W większości analizowanych gmin wskaźnik ten jest znacznie niższy niż wynikałoby ze średnich, tylko w gminie Łobez przekroczył wartość 104 w 2014 r. Także </w:t>
      </w:r>
      <w:r>
        <w:rPr>
          <w:rFonts w:cs="Times New Roman" w:ascii="Times New Roman" w:hAnsi="Times New Roman"/>
          <w:b/>
          <w:sz w:val="24"/>
          <w:szCs w:val="24"/>
        </w:rPr>
        <w:t>gminę Łobez charakteryzuje najbardziej dynamiczny przyrost liczby osób starszych w stosunku  do liczby osób młodych, w ciągu 7 lat wskaźnik zwiększył się prawie o połowę</w:t>
      </w:r>
      <w:r>
        <w:rPr>
          <w:rFonts w:cs="Times New Roman" w:ascii="Times New Roman" w:hAnsi="Times New Roman"/>
          <w:sz w:val="24"/>
          <w:szCs w:val="24"/>
        </w:rPr>
        <w:t>. W najmniejszym stopniu problem ten dotyka gminy Radowo Małe i Dobra, choć także w nich zachodzi istotna zmiana lokalnej struktury demograficznej.</w:t>
      </w:r>
    </w:p>
    <w:p>
      <w:pPr>
        <w:pStyle w:val="Normal"/>
        <w:spacing w:lineRule="auto" w:line="240" w:before="60" w:after="0"/>
        <w:jc w:val="both"/>
        <w:rPr/>
      </w:pPr>
      <w:r>
        <w:rPr>
          <w:rFonts w:cs="Times New Roman" w:ascii="Times New Roman" w:hAnsi="Times New Roman"/>
          <w:sz w:val="24"/>
          <w:szCs w:val="24"/>
        </w:rPr>
        <w:t xml:space="preserve">Analizy dotyczące struktury demograficznej pokazują, że </w:t>
      </w:r>
      <w:r>
        <w:rPr>
          <w:rFonts w:cs="Times New Roman" w:ascii="Times New Roman" w:hAnsi="Times New Roman"/>
          <w:b/>
          <w:bCs/>
          <w:sz w:val="24"/>
          <w:szCs w:val="24"/>
        </w:rPr>
        <w:t>obszar LGD CIW już zaczyna odczuwać silną presję demograficzną związaną z dynamicznym wzrostem odsetka najstarszych mieszkańców.</w:t>
      </w:r>
      <w:r>
        <w:rPr>
          <w:rFonts w:cs="Times New Roman" w:ascii="Times New Roman" w:hAnsi="Times New Roman"/>
          <w:sz w:val="24"/>
          <w:szCs w:val="24"/>
        </w:rPr>
        <w:t xml:space="preserve"> W kolejnych latach tendencja ta będzie przybierać na sile, co wymusi rozwój usług i produktów kierowanych do grupy osób w wieku poprodukcyjnym.</w:t>
      </w:r>
    </w:p>
    <w:p>
      <w:pPr>
        <w:pStyle w:val="Normal"/>
        <w:spacing w:lineRule="auto" w:line="240" w:before="60" w:after="0"/>
        <w:jc w:val="both"/>
        <w:rPr/>
      </w:pPr>
      <w:r>
        <w:rPr>
          <w:rFonts w:cs="Times New Roman" w:ascii="Times New Roman" w:hAnsi="Times New Roman"/>
          <w:sz w:val="24"/>
          <w:szCs w:val="24"/>
        </w:rPr>
        <w:t xml:space="preserve">Ostatnią istotną cechą demograficzną jest poziom wykształcenia mieszkańców. Dane z Narodowego Spisu Powszechnego przeprowadzonego w 2011 r. pokazują, że </w:t>
      </w:r>
      <w:r>
        <w:rPr>
          <w:rFonts w:cs="Times New Roman" w:ascii="Times New Roman" w:hAnsi="Times New Roman"/>
          <w:b/>
          <w:bCs/>
          <w:sz w:val="24"/>
          <w:szCs w:val="24"/>
        </w:rPr>
        <w:t>struktura wykształcenia mieszkańców obszaru LGD CIW jest słabsza niż średnie wyniki w województwie zachodniopomorskim i w kraju</w:t>
      </w:r>
      <w:r>
        <w:rPr>
          <w:rFonts w:cs="Times New Roman" w:ascii="Times New Roman" w:hAnsi="Times New Roman"/>
          <w:sz w:val="24"/>
          <w:szCs w:val="24"/>
        </w:rPr>
        <w:t xml:space="preserve">. Największy odsetek mieszkańców legitymuje się wykształceniem podstawowym, średnim i policealnym, zasadniczym zawodowym (na całym obszarze łączny odsetek takich osób przekracza 3/4 ogółu mieszkańców). Najmniej liczną grupę stanowią osoby bez wykształcenia i takie, które nie ukończyły szkoły podstawowej (między 2,5%). </w:t>
      </w:r>
      <w:r>
        <w:rPr>
          <w:rFonts w:cs="Times New Roman" w:ascii="Times New Roman" w:hAnsi="Times New Roman"/>
          <w:b/>
          <w:sz w:val="24"/>
          <w:szCs w:val="24"/>
        </w:rPr>
        <w:t>Osoby z wykształceniem wyższym stanowiły zaledwie około 8,5% badanych</w:t>
      </w:r>
      <w:r>
        <w:rPr>
          <w:rFonts w:cs="Times New Roman" w:ascii="Times New Roman" w:hAnsi="Times New Roman"/>
          <w:sz w:val="24"/>
          <w:szCs w:val="24"/>
        </w:rPr>
        <w:t xml:space="preserve"> (przy średniej ogólnopolskiej wynoszącej 17%).</w:t>
      </w:r>
    </w:p>
    <w:p>
      <w:pPr>
        <w:pStyle w:val="Normal"/>
        <w:autoSpaceDE w:val="false"/>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tbl>
      <w:tblPr>
        <w:tblW w:w="10207" w:type="dxa"/>
        <w:jc w:val="center"/>
        <w:tblInd w:w="0" w:type="dxa"/>
        <w:tblLayout w:type="fixed"/>
        <w:tblCellMar>
          <w:top w:w="0" w:type="dxa"/>
          <w:left w:w="108" w:type="dxa"/>
          <w:bottom w:w="0" w:type="dxa"/>
          <w:right w:w="108" w:type="dxa"/>
        </w:tblCellMar>
      </w:tblPr>
      <w:tblGrid>
        <w:gridCol w:w="2294"/>
        <w:gridCol w:w="967"/>
        <w:gridCol w:w="1276"/>
        <w:gridCol w:w="1301"/>
        <w:gridCol w:w="1417"/>
        <w:gridCol w:w="1418"/>
        <w:gridCol w:w="1534"/>
      </w:tblGrid>
      <w:tr>
        <w:trPr/>
        <w:tc>
          <w:tcPr>
            <w:tcW w:w="2294"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Powiat</w:t>
            </w:r>
          </w:p>
        </w:tc>
        <w:tc>
          <w:tcPr>
            <w:tcW w:w="7913" w:type="dxa"/>
            <w:gridSpan w:val="6"/>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Ludność w wieku 13 lat i więcej wg poziomu wykształcenia</w:t>
            </w:r>
          </w:p>
        </w:tc>
      </w:tr>
      <w:tr>
        <w:trPr/>
        <w:tc>
          <w:tcPr>
            <w:tcW w:w="2294"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center"/>
              <w:rPr>
                <w:rFonts w:ascii="Times New Roman" w:hAnsi="Times New Roman" w:cs="Times New Roman"/>
              </w:rPr>
            </w:pPr>
            <w:r>
              <w:rPr>
                <w:rFonts w:cs="Times New Roman" w:ascii="Times New Roman" w:hAnsi="Times New Roman"/>
              </w:rPr>
            </w:r>
          </w:p>
        </w:tc>
        <w:tc>
          <w:tcPr>
            <w:tcW w:w="967"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wyższe</w:t>
            </w:r>
          </w:p>
        </w:tc>
        <w:tc>
          <w:tcPr>
            <w:tcW w:w="1276"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średnie i policealne</w:t>
            </w:r>
          </w:p>
        </w:tc>
        <w:tc>
          <w:tcPr>
            <w:tcW w:w="1301"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zasadnicze zawodowe</w:t>
            </w:r>
          </w:p>
        </w:tc>
        <w:tc>
          <w:tcPr>
            <w:tcW w:w="1417"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Gimnazjalne</w:t>
            </w:r>
          </w:p>
        </w:tc>
        <w:tc>
          <w:tcPr>
            <w:tcW w:w="1418"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podstawo-we ukończone</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podstawowe nieukończone i brak wykształcenia</w:t>
            </w:r>
          </w:p>
        </w:tc>
      </w:tr>
      <w:tr>
        <w:trPr/>
        <w:tc>
          <w:tcPr>
            <w:tcW w:w="2294"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9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8,54%</w:t>
            </w:r>
          </w:p>
        </w:tc>
        <w:tc>
          <w:tcPr>
            <w:tcW w:w="1276"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25,34%</w:t>
            </w:r>
          </w:p>
        </w:tc>
        <w:tc>
          <w:tcPr>
            <w:tcW w:w="13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24,59%</w:t>
            </w:r>
          </w:p>
        </w:tc>
        <w:tc>
          <w:tcPr>
            <w:tcW w:w="141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5,74%</w:t>
            </w:r>
          </w:p>
        </w:tc>
        <w:tc>
          <w:tcPr>
            <w:tcW w:w="141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27,37%</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2,42%</w:t>
            </w:r>
          </w:p>
        </w:tc>
      </w:tr>
      <w:tr>
        <w:trPr/>
        <w:tc>
          <w:tcPr>
            <w:tcW w:w="2294"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9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16,61%</w:t>
            </w:r>
          </w:p>
        </w:tc>
        <w:tc>
          <w:tcPr>
            <w:tcW w:w="1276"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31,27%</w:t>
            </w:r>
          </w:p>
        </w:tc>
        <w:tc>
          <w:tcPr>
            <w:tcW w:w="13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20,57%</w:t>
            </w:r>
          </w:p>
        </w:tc>
        <w:tc>
          <w:tcPr>
            <w:tcW w:w="141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4,92%</w:t>
            </w:r>
          </w:p>
        </w:tc>
        <w:tc>
          <w:tcPr>
            <w:tcW w:w="141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19,07%</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1,67%</w:t>
            </w:r>
          </w:p>
        </w:tc>
      </w:tr>
      <w:tr>
        <w:trPr/>
        <w:tc>
          <w:tcPr>
            <w:tcW w:w="2294"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96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16,99%</w:t>
            </w:r>
          </w:p>
        </w:tc>
        <w:tc>
          <w:tcPr>
            <w:tcW w:w="1276"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31,56%</w:t>
            </w:r>
          </w:p>
        </w:tc>
        <w:tc>
          <w:tcPr>
            <w:tcW w:w="13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21,67%</w:t>
            </w:r>
          </w:p>
        </w:tc>
        <w:tc>
          <w:tcPr>
            <w:tcW w:w="1417"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4,93%</w:t>
            </w:r>
          </w:p>
        </w:tc>
        <w:tc>
          <w:tcPr>
            <w:tcW w:w="141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18,31%</w:t>
            </w:r>
          </w:p>
        </w:tc>
        <w:tc>
          <w:tcPr>
            <w:tcW w:w="15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1,36%</w:t>
            </w:r>
          </w:p>
        </w:tc>
      </w:tr>
    </w:tbl>
    <w:p>
      <w:pPr>
        <w:pStyle w:val="Normal"/>
        <w:autoSpaceDE w:val="false"/>
        <w:spacing w:lineRule="auto" w:line="240" w:before="60" w:after="0"/>
        <w:jc w:val="both"/>
        <w:rPr>
          <w:rFonts w:ascii="Times New Roman" w:hAnsi="Times New Roman" w:cs="Times New Roman"/>
          <w:b/>
          <w:b/>
          <w:bCs/>
          <w:iCs/>
        </w:rPr>
      </w:pPr>
      <w:r>
        <w:rPr>
          <w:rFonts w:cs="Times New Roman" w:ascii="Times New Roman" w:hAnsi="Times New Roman"/>
          <w:b/>
          <w:bCs/>
          <w:iCs/>
        </w:rPr>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b/>
          <w:bCs/>
          <w:iCs/>
          <w:sz w:val="24"/>
          <w:szCs w:val="24"/>
        </w:rPr>
        <w:t>Podsumowanie:</w:t>
      </w:r>
      <w:r>
        <w:rPr>
          <w:rFonts w:cs="Times New Roman" w:ascii="Times New Roman" w:hAnsi="Times New Roman"/>
          <w:i/>
          <w:iCs/>
          <w:sz w:val="24"/>
          <w:szCs w:val="24"/>
        </w:rPr>
        <w:t xml:space="preserve"> </w:t>
      </w:r>
      <w:r>
        <w:rPr>
          <w:rFonts w:cs="Times New Roman" w:ascii="Times New Roman" w:hAnsi="Times New Roman"/>
          <w:iCs/>
          <w:sz w:val="24"/>
          <w:szCs w:val="24"/>
        </w:rPr>
        <w:t>na obszarze LGD CIW występuje zjawisko spadku ogólnej liczby mieszkańców (w latach 2011-2014 r.). Teren ten charakteryzuje stosunkowo dobra struktura demograficzna, zbilansowana struktura płciowa, jednak równocześnie niewielki przyrost naturalny i ujemne saldo migracji. Na całym obszarze występuje zjawisko zmniejszania  się liczby osób młodych i jednoczesnego przyrostu osób starszych, co w kolejnych latach zwiększy presję demograficzną (już widoczną w analizowanych gminach, szczególnie w gminie Łobez). Wykształcenie mieszkańców obszaru jest znacznie niższe niż średnie wartości dla Polski i województwa zachodniopomorskiego.</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t>Rynek pracy</w:t>
      </w:r>
    </w:p>
    <w:p>
      <w:pPr>
        <w:pStyle w:val="Normal"/>
        <w:autoSpaceDE w:val="false"/>
        <w:spacing w:lineRule="auto" w:line="240" w:before="60" w:after="0"/>
        <w:jc w:val="both"/>
        <w:rPr/>
      </w:pPr>
      <w:r>
        <w:rPr>
          <w:rFonts w:cs="Times New Roman" w:ascii="Times New Roman" w:hAnsi="Times New Roman"/>
          <w:sz w:val="24"/>
          <w:szCs w:val="24"/>
        </w:rPr>
        <w:t xml:space="preserve">Rynek pracy jest kluczową dziedziną, charakteryzującą potencjał i ograniczenia rozwojowe poszczególnych obszarów. W przypadku terenu objętego działalnością LGD CIW </w:t>
      </w:r>
      <w:r>
        <w:rPr>
          <w:rFonts w:cs="Times New Roman" w:ascii="Times New Roman" w:hAnsi="Times New Roman"/>
          <w:b/>
          <w:bCs/>
          <w:sz w:val="24"/>
          <w:szCs w:val="24"/>
        </w:rPr>
        <w:t>charakterystycznym elementem jest bardzo niski stopień aktywności ekonomicznej ludności</w:t>
      </w:r>
      <w:r>
        <w:rPr/>
        <w:t xml:space="preserve"> (obliczany jako liczba zatrudnionych na 1.000 mieszkańców).</w:t>
      </w:r>
    </w:p>
    <w:tbl>
      <w:tblPr>
        <w:tblW w:w="9640" w:type="dxa"/>
        <w:jc w:val="center"/>
        <w:tblInd w:w="0" w:type="dxa"/>
        <w:tblLayout w:type="fixed"/>
        <w:tblCellMar>
          <w:top w:w="0" w:type="dxa"/>
          <w:left w:w="108" w:type="dxa"/>
          <w:bottom w:w="0" w:type="dxa"/>
          <w:right w:w="108" w:type="dxa"/>
        </w:tblCellMar>
      </w:tblPr>
      <w:tblGrid>
        <w:gridCol w:w="2648"/>
        <w:gridCol w:w="738"/>
        <w:gridCol w:w="738"/>
        <w:gridCol w:w="739"/>
        <w:gridCol w:w="738"/>
        <w:gridCol w:w="739"/>
        <w:gridCol w:w="738"/>
        <w:gridCol w:w="739"/>
        <w:gridCol w:w="1823"/>
      </w:tblGrid>
      <w:tr>
        <w:trPr/>
        <w:tc>
          <w:tcPr>
            <w:tcW w:w="2648"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5169" w:type="dxa"/>
            <w:gridSpan w:val="7"/>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Pracujący na 1000 ludności w latach 2007-2014</w:t>
            </w:r>
          </w:p>
        </w:tc>
        <w:tc>
          <w:tcPr>
            <w:tcW w:w="18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648"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8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pPr>
            <w:r>
              <w:rPr>
                <w:rFonts w:cs="Times New Roman" w:ascii="Times New Roman" w:hAnsi="Times New Roman"/>
              </w:rPr>
              <w:t>Dobra</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60</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-20</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169</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158</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157</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141</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150</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-19</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38"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62</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33</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177</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162</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190</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hd w:fill="66FFCC" w:val="clear"/>
              </w:rPr>
            </w:pPr>
            <w:r>
              <w:rPr>
                <w:rFonts w:cs="Times New Roman" w:ascii="Times New Roman" w:hAnsi="Times New Roman"/>
              </w:rPr>
              <w:t>203</w:t>
            </w:r>
          </w:p>
        </w:tc>
        <w:tc>
          <w:tcPr>
            <w:tcW w:w="738"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pPr>
            <w:r>
              <w:rPr>
                <w:rFonts w:cs="Times New Roman" w:ascii="Times New Roman" w:hAnsi="Times New Roman"/>
                <w:shd w:fill="66FFCC" w:val="clear"/>
              </w:rPr>
              <w:t>20</w:t>
            </w:r>
            <w:r>
              <w:rPr>
                <w:rFonts w:cs="Times New Roman" w:ascii="Times New Roman" w:hAnsi="Times New Roman"/>
              </w:rPr>
              <w:t>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186</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95</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108</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114</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19</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119</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121</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114</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119</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193</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197</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b/>
              </w:rPr>
              <w:t>190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191</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188</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192</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220</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226</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223</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223</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224</w:t>
            </w:r>
          </w:p>
        </w:tc>
        <w:tc>
          <w:tcPr>
            <w:tcW w:w="73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223</w:t>
            </w:r>
          </w:p>
        </w:tc>
        <w:tc>
          <w:tcPr>
            <w:tcW w:w="73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226</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6</w:t>
            </w:r>
          </w:p>
        </w:tc>
      </w:tr>
    </w:tbl>
    <w:p>
      <w:pPr>
        <w:pStyle w:val="Normal"/>
        <w:autoSpaceDE w:val="false"/>
        <w:spacing w:lineRule="auto" w:line="240" w:before="60" w:after="0"/>
        <w:rPr>
          <w:rFonts w:ascii="Times New Roman" w:hAnsi="Times New Roman" w:cs="Times New Roman"/>
        </w:rPr>
      </w:pPr>
      <w:r>
        <w:rPr>
          <w:rFonts w:cs="Times New Roman" w:ascii="Times New Roman" w:hAnsi="Times New Roman"/>
        </w:rPr>
      </w:r>
    </w:p>
    <w:p>
      <w:pPr>
        <w:pStyle w:val="Normal"/>
        <w:spacing w:lineRule="auto" w:line="240" w:before="60" w:after="0"/>
        <w:jc w:val="both"/>
        <w:rPr/>
      </w:pPr>
      <w:r>
        <w:rPr>
          <w:rFonts w:cs="Times New Roman" w:ascii="Times New Roman" w:hAnsi="Times New Roman"/>
          <w:sz w:val="24"/>
          <w:szCs w:val="24"/>
        </w:rPr>
        <w:t xml:space="preserve">Na analizowanym terenie współczynnik aktywności zawodowej był znacznie niższy niż średnia wojewódzka </w:t>
        <w:br/>
        <w:t xml:space="preserve">i ogólnopolska. </w:t>
      </w:r>
      <w:r>
        <w:rPr>
          <w:rFonts w:cs="Times New Roman" w:ascii="Times New Roman" w:hAnsi="Times New Roman"/>
          <w:b/>
          <w:sz w:val="24"/>
          <w:szCs w:val="24"/>
        </w:rPr>
        <w:t>Skrajnie niskie wartości charakteryzują gminy Dobra i Radowo Małe (mniej niż połowa średniej ogólnopolskiej).</w:t>
      </w:r>
      <w:r>
        <w:rPr>
          <w:rFonts w:cs="Times New Roman" w:ascii="Times New Roman" w:hAnsi="Times New Roman"/>
          <w:sz w:val="24"/>
          <w:szCs w:val="24"/>
        </w:rPr>
        <w:t xml:space="preserve"> W przypadku dwóch gmin (Dobra i Łobez) liczba osób aktywnych zawodowo w latach 2007-2013 dodatkowo się zmniejszyła (o około 20 osób na każdy 1000 ludności).</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strukturze zatrudnienia w podziale na typy prowadzonej działalności na obszarze LGD CIW dominuje przemysł i budownictwo, na drugim miejscu są usługi, najmniejsza część mieszkańców zatrudniona jest w sektorze rolnictwa, leśnictwa, łowiectwa i rybactwa.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9252" w:type="dxa"/>
        <w:jc w:val="center"/>
        <w:tblInd w:w="0" w:type="dxa"/>
        <w:tblLayout w:type="fixed"/>
        <w:tblCellMar>
          <w:top w:w="0" w:type="dxa"/>
          <w:left w:w="108" w:type="dxa"/>
          <w:bottom w:w="0" w:type="dxa"/>
          <w:right w:w="108" w:type="dxa"/>
        </w:tblCellMar>
      </w:tblPr>
      <w:tblGrid>
        <w:gridCol w:w="1023"/>
        <w:gridCol w:w="1023"/>
        <w:gridCol w:w="1023"/>
        <w:gridCol w:w="1023"/>
        <w:gridCol w:w="1024"/>
        <w:gridCol w:w="1024"/>
        <w:gridCol w:w="1024"/>
        <w:gridCol w:w="1024"/>
        <w:gridCol w:w="1064"/>
      </w:tblGrid>
      <w:tr>
        <w:trPr/>
        <w:tc>
          <w:tcPr>
            <w:tcW w:w="1023"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Powiat</w:t>
            </w:r>
          </w:p>
        </w:tc>
        <w:tc>
          <w:tcPr>
            <w:tcW w:w="7165" w:type="dxa"/>
            <w:gridSpan w:val="7"/>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Pracujący wg sekcji PKD 2007 w latach 2007-2013 (w osobach)</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2007-2013</w:t>
            </w:r>
          </w:p>
        </w:tc>
      </w:tr>
      <w:tr>
        <w:trPr/>
        <w:tc>
          <w:tcPr>
            <w:tcW w:w="1023"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0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9252" w:type="dxa"/>
            <w:gridSpan w:val="9"/>
            <w:tcBorders>
              <w:top w:val="single" w:sz="4" w:space="0" w:color="000000"/>
              <w:left w:val="single" w:sz="4" w:space="0" w:color="000000"/>
              <w:bottom w:val="single" w:sz="4" w:space="0" w:color="000000"/>
              <w:right w:val="single" w:sz="4" w:space="0" w:color="000000"/>
            </w:tcBorders>
            <w:shd w:fill="92D050"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Rolnictwo, leśnictwo, łowiectwo i rybactwo</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1.172</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1.206</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1.235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1.486</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1.457</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1.435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1.459</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00B050"/>
              </w:rPr>
              <w:t>+287</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BFBFBF"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Przemysł i budownictwo</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2.599</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2.405</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2.265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2.543</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2.481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2.276</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2.414</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-185</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FFC000"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Handel, naprawa pojazdów samochodowych, transport i gospodarka magazynowa, zakwaterowanie i gastronomia, informacja i komunikacja</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545</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586</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607</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664</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688</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600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00B050"/>
              </w:rPr>
              <w:t>+55</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FFFF00"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Działalność finansowa i ubezpieczeniowa, obsługa rynku nieruchomości</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151</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132</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pPr>
            <w:r>
              <w:rPr>
                <w:rFonts w:cs="Times New Roman" w:ascii="Times New Roman" w:hAnsi="Times New Roman"/>
              </w:rPr>
              <w:t>98</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90</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FF0000"/>
              </w:rPr>
            </w:pPr>
            <w:r>
              <w:rPr>
                <w:rFonts w:cs="Times New Roman" w:ascii="Times New Roman" w:hAnsi="Times New Roman"/>
              </w:rPr>
              <w:t>119</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color w:val="FF0000"/>
              </w:rPr>
              <w:t>-32</w:t>
            </w:r>
          </w:p>
        </w:tc>
      </w:tr>
      <w:tr>
        <w:trPr/>
        <w:tc>
          <w:tcPr>
            <w:tcW w:w="9252" w:type="dxa"/>
            <w:gridSpan w:val="9"/>
            <w:tcBorders>
              <w:top w:val="single" w:sz="4" w:space="0" w:color="000000"/>
              <w:left w:val="single" w:sz="4" w:space="0" w:color="000000"/>
              <w:bottom w:val="single" w:sz="4" w:space="0" w:color="000000"/>
              <w:right w:val="single" w:sz="4" w:space="0" w:color="000000"/>
            </w:tcBorders>
            <w:shd w:fill="FFD966" w:val="clear"/>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Pozostałe usługi</w:t>
            </w:r>
          </w:p>
        </w:tc>
      </w:tr>
      <w:tr>
        <w:trPr/>
        <w:tc>
          <w:tcPr>
            <w:tcW w:w="1023"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rPr>
            </w:pPr>
            <w:r>
              <w:rPr>
                <w:rFonts w:cs="Times New Roman" w:ascii="Times New Roman" w:hAnsi="Times New Roman"/>
              </w:rPr>
              <w:t>łobeski</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1.546</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1.594</w:t>
            </w:r>
          </w:p>
        </w:tc>
        <w:tc>
          <w:tcPr>
            <w:tcW w:w="102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1.610</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1.657</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1.615</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1.611</w:t>
            </w:r>
          </w:p>
        </w:tc>
        <w:tc>
          <w:tcPr>
            <w:tcW w:w="102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color w:val="00B050"/>
              </w:rPr>
            </w:pPr>
            <w:r>
              <w:rPr>
                <w:rFonts w:cs="Times New Roman" w:ascii="Times New Roman" w:hAnsi="Times New Roman"/>
              </w:rPr>
              <w:t>1.635</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color w:val="00B050"/>
              </w:rPr>
              <w:t>+89</w:t>
            </w:r>
          </w:p>
        </w:tc>
      </w:tr>
    </w:tbl>
    <w:p>
      <w:pPr>
        <w:pStyle w:val="Normal"/>
        <w:autoSpaceDE w:val="false"/>
        <w:spacing w:lineRule="auto" w:line="240" w:before="60" w:after="0"/>
        <w:rPr>
          <w:rFonts w:ascii="Times New Roman" w:hAnsi="Times New Roman" w:cs="Times New Roman"/>
        </w:rPr>
      </w:pPr>
      <w:r>
        <w:rPr>
          <w:rFonts w:cs="Times New Roman" w:ascii="Times New Roman" w:hAnsi="Times New Roman"/>
        </w:rPr>
      </w:r>
    </w:p>
    <w:p>
      <w:pPr>
        <w:pStyle w:val="Normal"/>
        <w:spacing w:lineRule="auto" w:line="240" w:before="60" w:after="0"/>
        <w:jc w:val="both"/>
        <w:rPr/>
      </w:pPr>
      <w:r>
        <w:rPr>
          <w:rFonts w:cs="Times New Roman" w:ascii="Times New Roman" w:hAnsi="Times New Roman"/>
          <w:b/>
          <w:bCs/>
          <w:sz w:val="24"/>
          <w:szCs w:val="24"/>
        </w:rPr>
        <w:t xml:space="preserve">Na przestrzeni lat 2007-2013 na obszarze LGD CIW w strukturze zatrudnienia dominował sektor przemysłu i budownictwa, </w:t>
      </w:r>
      <w:r>
        <w:rPr>
          <w:rFonts w:cs="Times New Roman" w:ascii="Times New Roman" w:hAnsi="Times New Roman"/>
          <w:bCs/>
          <w:sz w:val="24"/>
          <w:szCs w:val="24"/>
        </w:rPr>
        <w:t>pomimo obserwowanych niewielkich spadków i wzrostów</w:t>
      </w:r>
      <w:r>
        <w:rPr>
          <w:rFonts w:cs="Times New Roman" w:ascii="Times New Roman" w:hAnsi="Times New Roman"/>
          <w:sz w:val="24"/>
          <w:szCs w:val="24"/>
        </w:rPr>
        <w:t>. Dane w tabeli powyżej pokazują, że w powiecie łobeskim dynamicznie wzrasta liczba osób zatrudnionych w rolnictwie, leśnictwie, łowiectwie i rybactwie oraz w usługach. Zmniejszyła się zaś, i tak niewielka, liczba osób zatrudnionych w działalności finansowej i ubezpieczeniowej oraz obsłudze rynku nieruchomości.</w:t>
      </w:r>
    </w:p>
    <w:p>
      <w:pPr>
        <w:pStyle w:val="Normal"/>
        <w:spacing w:lineRule="auto" w:line="240" w:before="60" w:after="0"/>
        <w:jc w:val="both"/>
        <w:rPr/>
      </w:pPr>
      <w:r>
        <w:rPr>
          <w:rFonts w:cs="Times New Roman" w:ascii="Times New Roman" w:hAnsi="Times New Roman"/>
          <w:sz w:val="24"/>
          <w:szCs w:val="24"/>
        </w:rPr>
        <w:t xml:space="preserve">Jednym z największych problemów obszaru w zakresie rynku pracy jest </w:t>
      </w:r>
      <w:r>
        <w:rPr>
          <w:rFonts w:cs="Times New Roman" w:ascii="Times New Roman" w:hAnsi="Times New Roman"/>
          <w:b/>
          <w:bCs/>
          <w:sz w:val="24"/>
          <w:szCs w:val="24"/>
        </w:rPr>
        <w:t>wysoka stopa bezrobocia wśród mieszkańców</w:t>
      </w:r>
      <w:r>
        <w:rPr>
          <w:rFonts w:cs="Times New Roman" w:ascii="Times New Roman" w:hAnsi="Times New Roman"/>
          <w:sz w:val="24"/>
          <w:szCs w:val="24"/>
        </w:rPr>
        <w:t xml:space="preserve">. </w:t>
      </w:r>
      <w:r>
        <w:rPr>
          <w:rFonts w:cs="Times New Roman" w:ascii="Times New Roman" w:hAnsi="Times New Roman"/>
          <w:b/>
          <w:sz w:val="24"/>
          <w:szCs w:val="24"/>
        </w:rPr>
        <w:t>Według stanu na koniec 2013 r. na obszarze LGD CIW 3.270 osób to osoby bezrobotne (zarejestrowane).</w:t>
      </w:r>
      <w:r>
        <w:rPr>
          <w:rFonts w:cs="Times New Roman" w:ascii="Times New Roman" w:hAnsi="Times New Roman"/>
          <w:sz w:val="24"/>
          <w:szCs w:val="24"/>
        </w:rPr>
        <w:t xml:space="preserve"> Osoby bezrobotne stanowiły największy odsetek osób w wieku produkcyjnym w gminie Resko (aż 16,1%), najmniejsza skala problemu występuje za to na terenie gminy Łobez (11,4%).</w:t>
      </w:r>
    </w:p>
    <w:p>
      <w:pPr>
        <w:pStyle w:val="Normal"/>
        <w:autoSpaceDE w:val="false"/>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tbl>
      <w:tblPr>
        <w:tblW w:w="10343" w:type="dxa"/>
        <w:jc w:val="center"/>
        <w:tblInd w:w="0" w:type="dxa"/>
        <w:tblLayout w:type="fixed"/>
        <w:tblCellMar>
          <w:top w:w="0" w:type="dxa"/>
          <w:left w:w="108" w:type="dxa"/>
          <w:bottom w:w="0" w:type="dxa"/>
          <w:right w:w="108" w:type="dxa"/>
        </w:tblCellMar>
      </w:tblPr>
      <w:tblGrid>
        <w:gridCol w:w="1555"/>
        <w:gridCol w:w="1984"/>
        <w:gridCol w:w="2329"/>
        <w:gridCol w:w="1843"/>
        <w:gridCol w:w="2632"/>
      </w:tblGrid>
      <w:tr>
        <w:trPr/>
        <w:tc>
          <w:tcPr>
            <w:tcW w:w="1555"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1984"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bezrobotnych</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Udział osób bezrobotnych w liczbie ludności w wieku produkcyjnym</w:t>
            </w:r>
          </w:p>
        </w:tc>
      </w:tr>
      <w:tr>
        <w:trPr/>
        <w:tc>
          <w:tcPr>
            <w:tcW w:w="1555"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center"/>
              <w:rPr>
                <w:rFonts w:ascii="Times New Roman" w:hAnsi="Times New Roman" w:cs="Times New Roman"/>
              </w:rPr>
            </w:pPr>
            <w:r>
              <w:rPr>
                <w:rFonts w:cs="Times New Roman" w:ascii="Times New Roman" w:hAnsi="Times New Roman"/>
              </w:rPr>
            </w:r>
          </w:p>
        </w:tc>
        <w:tc>
          <w:tcPr>
            <w:tcW w:w="1984"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center"/>
              <w:rPr>
                <w:rFonts w:ascii="Times New Roman" w:hAnsi="Times New Roman" w:cs="Times New Roman"/>
              </w:rPr>
            </w:pPr>
            <w:r>
              <w:rPr>
                <w:rFonts w:cs="Times New Roman" w:ascii="Times New Roman" w:hAnsi="Times New Roman"/>
              </w:rPr>
            </w:r>
          </w:p>
        </w:tc>
        <w:tc>
          <w:tcPr>
            <w:tcW w:w="232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razem</w:t>
            </w:r>
          </w:p>
        </w:tc>
        <w:tc>
          <w:tcPr>
            <w:tcW w:w="1843"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pPr>
            <w:r>
              <w:rPr>
                <w:rFonts w:cs="Times New Roman" w:ascii="Times New Roman" w:hAnsi="Times New Roman"/>
                <w:b/>
                <w:bCs/>
              </w:rPr>
              <w:t>Mężczyźni</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Kobiety</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425</w:t>
            </w:r>
          </w:p>
        </w:tc>
        <w:tc>
          <w:tcPr>
            <w:tcW w:w="232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14,5%</w:t>
            </w:r>
          </w:p>
        </w:tc>
        <w:tc>
          <w:tcPr>
            <w:tcW w:w="184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12,5%</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16,9%</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984"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1.046</w:t>
            </w:r>
          </w:p>
        </w:tc>
        <w:tc>
          <w:tcPr>
            <w:tcW w:w="2329"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11,4%</w:t>
            </w:r>
          </w:p>
        </w:tc>
        <w:tc>
          <w:tcPr>
            <w:tcW w:w="1843"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9,9%</w:t>
            </w:r>
          </w:p>
        </w:tc>
        <w:tc>
          <w:tcPr>
            <w:tcW w:w="2632" w:type="dxa"/>
            <w:tcBorders>
              <w:top w:val="single" w:sz="4" w:space="0" w:color="000000"/>
              <w:left w:val="single" w:sz="4" w:space="0" w:color="000000"/>
              <w:bottom w:val="single" w:sz="4" w:space="0" w:color="000000"/>
              <w:right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13,0%</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984" w:type="dxa"/>
            <w:tcBorders>
              <w:top w:val="single" w:sz="4" w:space="0" w:color="000000"/>
              <w:left w:val="single" w:sz="4" w:space="0" w:color="000000"/>
              <w:bottom w:val="single" w:sz="4" w:space="0" w:color="000000"/>
            </w:tcBorders>
            <w:shd w:fill="66FFCC"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323</w:t>
            </w:r>
          </w:p>
        </w:tc>
        <w:tc>
          <w:tcPr>
            <w:tcW w:w="232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13,4%</w:t>
            </w:r>
          </w:p>
        </w:tc>
        <w:tc>
          <w:tcPr>
            <w:tcW w:w="184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12,2%</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14,8%</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840</w:t>
            </w:r>
          </w:p>
        </w:tc>
        <w:tc>
          <w:tcPr>
            <w:tcW w:w="2329"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w:t>
            </w:r>
          </w:p>
        </w:tc>
        <w:tc>
          <w:tcPr>
            <w:tcW w:w="1843" w:type="dxa"/>
            <w:tcBorders>
              <w:top w:val="single" w:sz="4" w:space="0" w:color="000000"/>
              <w:left w:val="single" w:sz="4" w:space="0" w:color="000000"/>
              <w:bottom w:val="single" w:sz="4" w:space="0" w:color="000000"/>
            </w:tcBorders>
            <w:shd w:fill="FFCC99"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15,2%</w:t>
            </w:r>
          </w:p>
        </w:tc>
        <w:tc>
          <w:tcPr>
            <w:tcW w:w="263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17,2%</w:t>
            </w:r>
          </w:p>
        </w:tc>
      </w:tr>
      <w:tr>
        <w:trPr/>
        <w:tc>
          <w:tcPr>
            <w:tcW w:w="155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636</w:t>
            </w:r>
          </w:p>
        </w:tc>
        <w:tc>
          <w:tcPr>
            <w:tcW w:w="232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13,9%</w:t>
            </w:r>
          </w:p>
        </w:tc>
        <w:tc>
          <w:tcPr>
            <w:tcW w:w="1843"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2632" w:type="dxa"/>
            <w:tcBorders>
              <w:top w:val="single" w:sz="4" w:space="0" w:color="000000"/>
              <w:left w:val="single" w:sz="4" w:space="0" w:color="000000"/>
              <w:bottom w:val="single" w:sz="4" w:space="0" w:color="000000"/>
              <w:right w:val="single" w:sz="4" w:space="0" w:color="000000"/>
            </w:tcBorders>
            <w:shd w:fill="FFCC99"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18,3%</w:t>
            </w:r>
          </w:p>
        </w:tc>
      </w:tr>
    </w:tbl>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Wśród bezrobotnych przeważają kobiety</w:t>
      </w:r>
      <w:r>
        <w:rPr>
          <w:rFonts w:cs="Times New Roman" w:ascii="Times New Roman" w:hAnsi="Times New Roman"/>
          <w:sz w:val="24"/>
          <w:szCs w:val="24"/>
        </w:rPr>
        <w:t xml:space="preserve">, zjawisko takie występuje we wszystkich analizowanych gminach. Szczególnie wyraźnie problem bezrobocia kobiet widoczny jest </w:t>
      </w:r>
      <w:r>
        <w:rPr>
          <w:rFonts w:cs="Times New Roman" w:ascii="Times New Roman" w:hAnsi="Times New Roman"/>
          <w:b/>
          <w:sz w:val="24"/>
          <w:szCs w:val="24"/>
        </w:rPr>
        <w:t xml:space="preserve">w gminie Węgorzyno (tu bezrobotna jest prawie co piąta kobieta w wieku produkcyjnym). </w:t>
      </w:r>
      <w:r>
        <w:rPr>
          <w:rFonts w:cs="Times New Roman" w:ascii="Times New Roman" w:hAnsi="Times New Roman"/>
          <w:sz w:val="24"/>
          <w:szCs w:val="24"/>
        </w:rPr>
        <w:t>Zgodnie z danymi PUP w Łobzie (listopad 2014 r.) wśród zarejestrowanych 2.615 bezrobotnych, 2.285 osób to osoby w szczególnej sytuacji na rynku pracy (osoby bez kwalifikacji zawodowych 1.175 osób, osoby bez doświadczenia zawodowego – 752 osoby, osoby do 25 roku życia – 402 osoby, osoby po 50 roku życia – 760 osób, osoby niepełnosprawne – 43 osoby, osoby samotnie wychowujące dziecko – 425 osób).</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8809" w:type="dxa"/>
        <w:jc w:val="center"/>
        <w:tblInd w:w="0" w:type="dxa"/>
        <w:tblLayout w:type="fixed"/>
        <w:tblCellMar>
          <w:top w:w="0" w:type="dxa"/>
          <w:left w:w="108" w:type="dxa"/>
          <w:bottom w:w="0" w:type="dxa"/>
          <w:right w:w="108" w:type="dxa"/>
        </w:tblCellMar>
      </w:tblPr>
      <w:tblGrid>
        <w:gridCol w:w="2217"/>
        <w:gridCol w:w="758"/>
        <w:gridCol w:w="759"/>
        <w:gridCol w:w="759"/>
        <w:gridCol w:w="758"/>
        <w:gridCol w:w="759"/>
        <w:gridCol w:w="759"/>
        <w:gridCol w:w="759"/>
        <w:gridCol w:w="1281"/>
      </w:tblGrid>
      <w:tr>
        <w:trPr/>
        <w:tc>
          <w:tcPr>
            <w:tcW w:w="2217" w:type="dxa"/>
            <w:vMerge w:val="restart"/>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5311" w:type="dxa"/>
            <w:gridSpan w:val="7"/>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 xml:space="preserve">Udział bezrobotnych zarejestrowanych </w:t>
              <w:br/>
              <w:t xml:space="preserve">w liczbie ludności w wieku produkcyjnym </w:t>
              <w:br/>
              <w:t>w latach 2007-2013</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Zmiana w latach 2007-2014</w:t>
            </w:r>
          </w:p>
        </w:tc>
      </w:tr>
      <w:tr>
        <w:trPr/>
        <w:tc>
          <w:tcPr>
            <w:tcW w:w="2217"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2008</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2009</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2012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bCs/>
              </w:rPr>
              <w:t>2013</w:t>
            </w:r>
          </w:p>
        </w:tc>
        <w:tc>
          <w:tcPr>
            <w:tcW w:w="12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60" w:after="0"/>
              <w:rPr>
                <w:rFonts w:ascii="Times New Roman" w:hAnsi="Times New Roman" w:cs="Times New Roman"/>
              </w:rPr>
            </w:pPr>
            <w:r>
              <w:rPr>
                <w:rFonts w:cs="Times New Roman" w:ascii="Times New Roman" w:hAnsi="Times New Roman"/>
              </w:rPr>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pPr>
            <w:r>
              <w:rPr>
                <w:rFonts w:cs="Times New Roman" w:ascii="Times New Roman" w:hAnsi="Times New Roman"/>
              </w:rPr>
              <w:t>Dobra</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15,2</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14,5</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-2,7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10,5</w:t>
            </w:r>
          </w:p>
        </w:tc>
        <w:tc>
          <w:tcPr>
            <w:tcW w:w="759"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12,2</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11,9</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12,8</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11,4</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0,9</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58"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19,5</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20,3</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color w:val="FF0000"/>
              </w:rPr>
            </w:pPr>
            <w:r>
              <w:rPr>
                <w:rFonts w:cs="Times New Roman" w:ascii="Times New Roman" w:hAnsi="Times New Roman"/>
              </w:rPr>
              <w:t>13,4</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color w:val="FF0000"/>
              </w:rPr>
              <w:t>-6,1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16,2</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15,2</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16,1</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1,5</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11,8</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13,9</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0,8</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ŚREDNIA</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15,0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11,3</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15,5</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13,4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14,6</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14,4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13,9</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-1,1</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woj. zachodniopomorskie</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9,3</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7,4</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9,5</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10,0</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0,7</w:t>
            </w:r>
          </w:p>
        </w:tc>
      </w:tr>
      <w:tr>
        <w:trPr/>
        <w:tc>
          <w:tcPr>
            <w:tcW w:w="2217"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rPr>
            </w:pPr>
            <w:r>
              <w:rPr>
                <w:rFonts w:cs="Times New Roman" w:ascii="Times New Roman" w:hAnsi="Times New Roman"/>
                <w:b/>
              </w:rPr>
              <w:t>POLSKA</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7,1</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7,7</w:t>
            </w:r>
          </w:p>
        </w:tc>
        <w:tc>
          <w:tcPr>
            <w:tcW w:w="758"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7,9</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8,0</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8,7</w:t>
            </w:r>
          </w:p>
        </w:tc>
        <w:tc>
          <w:tcPr>
            <w:tcW w:w="75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8,8</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1,7</w:t>
            </w:r>
          </w:p>
        </w:tc>
      </w:tr>
    </w:tbl>
    <w:p>
      <w:pPr>
        <w:pStyle w:val="Normal"/>
        <w:spacing w:lineRule="auto" w:line="240" w:before="6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t>Na przestrzeni lat 2007-2013 bezrobocie na analizowanym obszarze zmalało o 1,1%</w:t>
      </w:r>
      <w:r>
        <w:rPr>
          <w:rFonts w:cs="Times New Roman" w:ascii="Times New Roman" w:hAnsi="Times New Roman"/>
          <w:sz w:val="24"/>
          <w:szCs w:val="24"/>
        </w:rPr>
        <w:t xml:space="preserve">. Spadek odnotowały dwie gminy: Dobra (o 2,7%) i Radowo Małe (o aż 6,1%), a w pozostałych trzech wzrost bezrobocia był wyższy od wskaźników dla województwa zachodniopomorskiego. Gminą najbardziej dotkniętą problemem bezrobocia na analizowanym obszarze jest gmina Resko. </w:t>
      </w:r>
      <w:r>
        <w:rPr>
          <w:rFonts w:cs="Times New Roman" w:ascii="Times New Roman" w:hAnsi="Times New Roman"/>
          <w:bCs/>
          <w:sz w:val="24"/>
          <w:szCs w:val="24"/>
        </w:rPr>
        <w:t>Mimo pewnego postępu w walce z bezrobociem w latach 2007-2013</w:t>
      </w:r>
      <w:r>
        <w:rPr>
          <w:rFonts w:cs="Times New Roman" w:ascii="Times New Roman" w:hAnsi="Times New Roman"/>
          <w:b/>
          <w:bCs/>
          <w:sz w:val="24"/>
          <w:szCs w:val="24"/>
        </w:rPr>
        <w:t xml:space="preserve"> poziom bezrobocia w każdej z analizowanych gmin jest wyższy niż średnia dla województwa zachodniopomorskiego i Polski. Dane te świadczą o nieskuteczności dotychczasowych mechanizmów aktywizacji bezrobotnych</w:t>
      </w:r>
      <w:r>
        <w:rPr>
          <w:rFonts w:cs="Times New Roman" w:ascii="Times New Roman" w:hAnsi="Times New Roman"/>
          <w:sz w:val="24"/>
          <w:szCs w:val="24"/>
        </w:rPr>
        <w:t xml:space="preserve"> i konieczności podjęcia dalszych działań w celu redukcji odsetka osób pozostających bez pracy.</w:t>
      </w:r>
    </w:p>
    <w:p>
      <w:pPr>
        <w:pStyle w:val="Normal"/>
        <w:autoSpaceDE w:val="false"/>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9328" w:type="dxa"/>
        <w:jc w:val="center"/>
        <w:tblInd w:w="0" w:type="dxa"/>
        <w:tblLayout w:type="fixed"/>
        <w:tblCellMar>
          <w:top w:w="0" w:type="dxa"/>
          <w:left w:w="108" w:type="dxa"/>
          <w:bottom w:w="0" w:type="dxa"/>
          <w:right w:w="108" w:type="dxa"/>
        </w:tblCellMar>
      </w:tblPr>
      <w:tblGrid>
        <w:gridCol w:w="1575"/>
        <w:gridCol w:w="1984"/>
        <w:gridCol w:w="1985"/>
        <w:gridCol w:w="1701"/>
        <w:gridCol w:w="2083"/>
      </w:tblGrid>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bCs/>
              </w:rPr>
              <w:t>Gmina</w:t>
            </w:r>
          </w:p>
        </w:tc>
        <w:tc>
          <w:tcPr>
            <w:tcW w:w="1984"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zarejestrowanych podmiotów w REGON</w:t>
            </w:r>
          </w:p>
        </w:tc>
        <w:tc>
          <w:tcPr>
            <w:tcW w:w="198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zarejestrowanych podmiotów w REGON na tysiąc mieszkańców</w:t>
            </w:r>
          </w:p>
        </w:tc>
        <w:tc>
          <w:tcPr>
            <w:tcW w:w="1701"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bCs/>
              </w:rPr>
              <w:t>Liczba osób fizycznych prowadzących działalność gospodarczą</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rPr>
            </w:pPr>
            <w:r>
              <w:rPr>
                <w:rFonts w:cs="Times New Roman" w:ascii="Times New Roman" w:hAnsi="Times New Roman"/>
                <w:b/>
                <w:bCs/>
              </w:rPr>
              <w:t>Liczba osób fizycznych prowadzących działalność gospodarczą na tysiąc mieszkańców</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296</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234</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1984"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1.496</w:t>
            </w:r>
          </w:p>
        </w:tc>
        <w:tc>
          <w:tcPr>
            <w:tcW w:w="1985"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1701" w:type="dxa"/>
            <w:tcBorders>
              <w:top w:val="single" w:sz="4" w:space="0" w:color="000000"/>
              <w:left w:val="single" w:sz="4" w:space="0" w:color="000000"/>
              <w:bottom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1.093</w:t>
            </w:r>
          </w:p>
        </w:tc>
        <w:tc>
          <w:tcPr>
            <w:tcW w:w="208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76</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1984"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242</w:t>
            </w:r>
          </w:p>
        </w:tc>
        <w:tc>
          <w:tcPr>
            <w:tcW w:w="1985"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w:t>
            </w:r>
          </w:p>
        </w:tc>
        <w:tc>
          <w:tcPr>
            <w:tcW w:w="1701" w:type="dxa"/>
            <w:tcBorders>
              <w:top w:val="single" w:sz="4" w:space="0" w:color="000000"/>
              <w:left w:val="single" w:sz="4" w:space="0" w:color="000000"/>
              <w:bottom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170</w:t>
            </w:r>
          </w:p>
        </w:tc>
        <w:tc>
          <w:tcPr>
            <w:tcW w:w="2083" w:type="dxa"/>
            <w:tcBorders>
              <w:top w:val="single" w:sz="4" w:space="0" w:color="000000"/>
              <w:left w:val="single" w:sz="4" w:space="0" w:color="000000"/>
              <w:bottom w:val="single" w:sz="4" w:space="0" w:color="000000"/>
              <w:right w:val="single" w:sz="4" w:space="0" w:color="000000"/>
            </w:tcBorders>
            <w:shd w:fill="F4B083"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46</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786</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96</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570</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69</w:t>
            </w:r>
          </w:p>
        </w:tc>
      </w:tr>
      <w:tr>
        <w:trPr/>
        <w:tc>
          <w:tcPr>
            <w:tcW w:w="157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515</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389</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rPr>
              <w:t>54</w:t>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RAZEM</w:t>
            </w:r>
          </w:p>
        </w:tc>
        <w:tc>
          <w:tcPr>
            <w:tcW w:w="1984"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3.335</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2.456</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bCs/>
              </w:rPr>
            </w:pPr>
            <w:r>
              <w:rPr>
                <w:rFonts w:cs="Times New Roman" w:ascii="Times New Roman" w:hAnsi="Times New Roman"/>
                <w:b/>
              </w:rPr>
              <w:t>-</w:t>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ŚREDNIA dla obszaru</w:t>
            </w:r>
          </w:p>
        </w:tc>
        <w:tc>
          <w:tcPr>
            <w:tcW w:w="1984"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667</w:t>
              <w:br/>
            </w:r>
            <w:r>
              <w:rPr>
                <w:rFonts w:cs="Times New Roman" w:ascii="Times New Roman" w:hAnsi="Times New Roman"/>
              </w:rPr>
              <w:t>podmioty gospodarcze na gminę</w:t>
            </w:r>
          </w:p>
        </w:tc>
        <w:tc>
          <w:tcPr>
            <w:tcW w:w="1985"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b/>
              </w:rPr>
              <w:t>81</w:t>
            </w:r>
          </w:p>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r>
          </w:p>
        </w:tc>
        <w:tc>
          <w:tcPr>
            <w:tcW w:w="1701"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491</w:t>
              <w:br/>
            </w:r>
            <w:r>
              <w:rPr>
                <w:rFonts w:cs="Times New Roman" w:ascii="Times New Roman" w:hAnsi="Times New Roman"/>
              </w:rPr>
              <w:t>osób prowadzących działalność gospodarczą na gminę</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59</w:t>
              <w:br/>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ŚREDNIA dla województwa zachodniopomorskiego</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198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128</w:t>
              <w:br/>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b/>
                <w:b/>
                <w:bCs/>
              </w:rPr>
            </w:pPr>
            <w:r>
              <w:rPr>
                <w:rFonts w:cs="Times New Roman" w:ascii="Times New Roman" w:hAnsi="Times New Roman"/>
                <w:b/>
              </w:rPr>
              <w:t>95</w:t>
              <w:br/>
            </w:r>
          </w:p>
        </w:tc>
      </w:tr>
      <w:tr>
        <w:trPr/>
        <w:tc>
          <w:tcPr>
            <w:tcW w:w="157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rPr>
            </w:pPr>
            <w:r>
              <w:rPr>
                <w:rFonts w:cs="Times New Roman" w:ascii="Times New Roman" w:hAnsi="Times New Roman"/>
                <w:b/>
                <w:bCs/>
              </w:rPr>
              <w:t>ŚREDNIA dla Polski</w:t>
            </w:r>
          </w:p>
        </w:tc>
        <w:tc>
          <w:tcPr>
            <w:tcW w:w="1984"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198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rPr>
            </w:pPr>
            <w:r>
              <w:rPr>
                <w:rFonts w:cs="Times New Roman" w:ascii="Times New Roman" w:hAnsi="Times New Roman"/>
                <w:b/>
              </w:rPr>
              <w:t>106</w:t>
              <w:br/>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i/>
                <w:i/>
                <w:iCs/>
              </w:rPr>
            </w:pPr>
            <w:r>
              <w:rPr>
                <w:rFonts w:cs="Times New Roman" w:ascii="Times New Roman" w:hAnsi="Times New Roman"/>
                <w:b/>
              </w:rPr>
              <w:t>77</w:t>
              <w:br/>
            </w:r>
          </w:p>
        </w:tc>
      </w:tr>
    </w:tbl>
    <w:p>
      <w:pPr>
        <w:pStyle w:val="Normal"/>
        <w:spacing w:lineRule="auto" w:line="240" w:before="60" w:after="0"/>
        <w:jc w:val="both"/>
        <w:rPr/>
      </w:pPr>
      <w:r>
        <w:rPr>
          <w:rFonts w:cs="Times New Roman" w:ascii="Times New Roman" w:hAnsi="Times New Roman"/>
          <w:sz w:val="24"/>
          <w:szCs w:val="24"/>
        </w:rPr>
        <w:t xml:space="preserve">Dane dotyczące przedsiębiorczości mieszkańców obszaru LGD CIW są optymistyczne. </w:t>
      </w:r>
      <w:r>
        <w:rPr>
          <w:rFonts w:cs="Times New Roman" w:ascii="Times New Roman" w:hAnsi="Times New Roman"/>
          <w:b/>
          <w:sz w:val="24"/>
          <w:szCs w:val="24"/>
        </w:rPr>
        <w:t>Na analizowanym terenie funkcjonuje łącznie 3.335 podmiotów gospodarczych, zaś 2.456 osób fizycznych prowadzi własną działalność gospodarczą</w:t>
      </w:r>
      <w:r>
        <w:rPr>
          <w:rFonts w:cs="Times New Roman" w:ascii="Times New Roman" w:hAnsi="Times New Roman"/>
          <w:sz w:val="24"/>
          <w:szCs w:val="24"/>
        </w:rPr>
        <w:t>. Największa liczba przedsiębiorców działa na terenie gminy Łobez (łącznie 1.496 podmiotów). Również przy uwzględnieniu liczby ludności poszczególnych gmin najwyższe wskaźniki przedsiębiorczości występują w tej gminie. Najsłabiej w tym względzie wypada zaś gmina Radowo Małe.</w:t>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t>Poziom rozwoju przedsiębiorczości na terenie LGD CIW jest jednak niższy niż średnich wskaźników dla województwa zachodniopomorskiego i Polski.</w:t>
      </w:r>
      <w:r>
        <w:rPr>
          <w:rFonts w:cs="Times New Roman" w:ascii="Times New Roman" w:hAnsi="Times New Roman"/>
          <w:sz w:val="24"/>
          <w:szCs w:val="24"/>
        </w:rPr>
        <w:t xml:space="preserve"> Na każdy tysiąc mieszkańców na obszarze LGD CIW funkcjonuje 81 podmiotów gospodarczych (wskaźnik dla poszczególnych gmin wynosi od 65 do 104). Jest to wynik niższy niż średnia dla kraju (106 podmiotów) i wyraźnie niższy niż w całym województwie zachodniopomorskim (128 podmiotów).</w:t>
      </w:r>
      <w:r>
        <w:rPr>
          <w:rFonts w:cs="Times New Roman" w:ascii="Times New Roman" w:hAnsi="Times New Roman"/>
          <w:b/>
          <w:bCs/>
          <w:sz w:val="24"/>
          <w:szCs w:val="24"/>
        </w:rPr>
        <w:t>Stosunkowo niewielu przedsiębiorców na obszarze LGD CIW to osoby fizyczne prowadzące działalność gospodarczą</w:t>
      </w:r>
      <w:r>
        <w:rPr>
          <w:rFonts w:cs="Times New Roman" w:ascii="Times New Roman" w:hAnsi="Times New Roman"/>
          <w:sz w:val="24"/>
          <w:szCs w:val="24"/>
        </w:rPr>
        <w:t>. Średnio na obszarze LGD CIW jest to 59 osób na 1000 mieszkańców, co daje wynik znacząco niższy od średniej wojewódzkiej (95 osób) oraz średniej ogólnopolskiej (77 osób).</w:t>
      </w:r>
    </w:p>
    <w:p>
      <w:pPr>
        <w:pStyle w:val="Normal"/>
        <w:spacing w:lineRule="auto" w:line="240" w:before="60" w:after="0"/>
        <w:jc w:val="both"/>
        <w:rPr>
          <w:rFonts w:ascii="Times New Roman" w:hAnsi="Times New Roman" w:cs="Times New Roman"/>
          <w:bCs/>
          <w:sz w:val="24"/>
          <w:szCs w:val="24"/>
        </w:rPr>
      </w:pPr>
      <w:r>
        <w:rPr>
          <w:rFonts w:cs="Times New Roman" w:ascii="Times New Roman" w:hAnsi="Times New Roman"/>
          <w:bCs/>
          <w:sz w:val="24"/>
          <w:szCs w:val="24"/>
        </w:rPr>
        <w:t>Zgodnie z danymi w rejestrze REGON na obszarze LGD CIW dominują przedsiębiorstwa prowadzące działalność w zakresie:</w:t>
      </w:r>
    </w:p>
    <w:p>
      <w:pPr>
        <w:pStyle w:val="Normal"/>
        <w:numPr>
          <w:ilvl w:val="0"/>
          <w:numId w:val="15"/>
        </w:numPr>
        <w:suppressAutoHyphens w:val="true"/>
        <w:spacing w:lineRule="auto" w:line="240" w:before="60" w:after="0"/>
        <w:contextualSpacing/>
        <w:jc w:val="both"/>
        <w:rPr/>
      </w:pPr>
      <w:r>
        <w:rPr>
          <w:rFonts w:cs="Times New Roman" w:ascii="Times New Roman" w:hAnsi="Times New Roman"/>
          <w:bCs/>
          <w:sz w:val="24"/>
          <w:szCs w:val="24"/>
        </w:rPr>
        <w:t>handlu hurtowego i detalicznego oraz naprawy pojazdów (787 podmiotów),</w:t>
      </w:r>
    </w:p>
    <w:p>
      <w:pPr>
        <w:pStyle w:val="Normal"/>
        <w:numPr>
          <w:ilvl w:val="0"/>
          <w:numId w:val="15"/>
        </w:numPr>
        <w:suppressAutoHyphens w:val="true"/>
        <w:spacing w:lineRule="auto" w:line="240" w:before="60" w:after="0"/>
        <w:contextualSpacing/>
        <w:jc w:val="both"/>
        <w:rPr>
          <w:rFonts w:ascii="Times New Roman" w:hAnsi="Times New Roman" w:eastAsia="Times New Roman" w:cs="Times New Roman"/>
          <w:bCs/>
          <w:color w:val="000000"/>
          <w:sz w:val="24"/>
          <w:szCs w:val="24"/>
        </w:rPr>
      </w:pPr>
      <w:r>
        <w:rPr>
          <w:rFonts w:cs="Times New Roman" w:ascii="Times New Roman" w:hAnsi="Times New Roman"/>
          <w:bCs/>
          <w:sz w:val="24"/>
          <w:szCs w:val="24"/>
        </w:rPr>
        <w:t>budownictwa (455 podmiotów),</w:t>
      </w:r>
    </w:p>
    <w:p>
      <w:pPr>
        <w:pStyle w:val="Normal"/>
        <w:numPr>
          <w:ilvl w:val="0"/>
          <w:numId w:val="15"/>
        </w:numPr>
        <w:suppressAutoHyphens w:val="true"/>
        <w:spacing w:lineRule="auto" w:line="240" w:before="60" w:after="0"/>
        <w:contextualSpacing/>
        <w:jc w:val="both"/>
        <w:rPr>
          <w:rFonts w:ascii="Times New Roman" w:hAnsi="Times New Roman" w:cs="Times New Roman"/>
          <w:sz w:val="24"/>
          <w:szCs w:val="24"/>
        </w:rPr>
      </w:pPr>
      <w:r>
        <w:rPr>
          <w:rFonts w:eastAsia="Times New Roman" w:cs="Times New Roman" w:ascii="Times New Roman" w:hAnsi="Times New Roman"/>
          <w:bCs/>
          <w:color w:val="000000"/>
          <w:sz w:val="24"/>
          <w:szCs w:val="24"/>
        </w:rPr>
        <w:t>obsługi rynku nieruchomości</w:t>
      </w:r>
      <w:r>
        <w:rPr>
          <w:rFonts w:eastAsia="Times New Roman" w:cs="Times New Roman" w:ascii="Times New Roman" w:hAnsi="Times New Roman"/>
          <w:bCs/>
          <w:sz w:val="24"/>
          <w:szCs w:val="24"/>
        </w:rPr>
        <w:t xml:space="preserve"> (343 podmioty).</w:t>
      </w:r>
    </w:p>
    <w:p>
      <w:pPr>
        <w:sectPr>
          <w:footerReference w:type="default" r:id="rId9"/>
          <w:footnotePr>
            <w:numFmt w:val="decimal"/>
          </w:footnotePr>
          <w:type w:val="nextPage"/>
          <w:pgSz w:w="11906" w:h="16838"/>
          <w:pgMar w:left="851" w:right="567" w:gutter="567" w:header="0" w:top="567" w:footer="0" w:bottom="567"/>
          <w:pgNumType w:fmt="decimal"/>
          <w:formProt w:val="false"/>
          <w:textDirection w:val="lrTb"/>
          <w:docGrid w:type="default" w:linePitch="360" w:charSpace="0"/>
        </w:sectPr>
        <w:pStyle w:val="Normal"/>
        <w:spacing w:lineRule="auto" w:line="240" w:before="60" w:after="0"/>
        <w:rPr/>
      </w:pPr>
      <w:r>
        <w:rPr>
          <w:rFonts w:cs="Times New Roman" w:ascii="Times New Roman" w:hAnsi="Times New Roman"/>
          <w:sz w:val="24"/>
          <w:szCs w:val="24"/>
        </w:rPr>
        <w:t>Są to główne (kluczowe) gałęzie lokalnej gospodarki</w:t>
      </w:r>
      <w:r>
        <w:rPr>
          <w:rFonts w:cs="Times New Roman" w:ascii="Times New Roman" w:hAnsi="Times New Roman"/>
        </w:rPr>
        <w:t>.</w:t>
      </w:r>
    </w:p>
    <w:p>
      <w:pPr>
        <w:pStyle w:val="Normal"/>
        <w:autoSpaceDE w:val="false"/>
        <w:spacing w:lineRule="auto" w:line="240" w:before="60" w:after="0"/>
        <w:rPr>
          <w:rFonts w:ascii="Times New Roman" w:hAnsi="Times New Roman" w:cs="Times New Roman"/>
        </w:rPr>
      </w:pPr>
      <w:r>
        <w:rPr>
          <w:rFonts w:cs="Times New Roman" w:ascii="Times New Roman" w:hAnsi="Times New Roman"/>
        </w:rPr>
      </w:r>
    </w:p>
    <w:tbl>
      <w:tblPr>
        <w:tblW w:w="15253" w:type="dxa"/>
        <w:jc w:val="left"/>
        <w:tblInd w:w="-5" w:type="dxa"/>
        <w:tblLayout w:type="fixed"/>
        <w:tblCellMar>
          <w:top w:w="55" w:type="dxa"/>
          <w:left w:w="55" w:type="dxa"/>
          <w:bottom w:w="55" w:type="dxa"/>
          <w:right w:w="55" w:type="dxa"/>
        </w:tblCellMar>
      </w:tblPr>
      <w:tblGrid>
        <w:gridCol w:w="960"/>
        <w:gridCol w:w="752"/>
        <w:gridCol w:w="642"/>
        <w:gridCol w:w="862"/>
        <w:gridCol w:w="753"/>
        <w:gridCol w:w="752"/>
        <w:gridCol w:w="893"/>
        <w:gridCol w:w="611"/>
        <w:gridCol w:w="753"/>
        <w:gridCol w:w="752"/>
        <w:gridCol w:w="752"/>
        <w:gridCol w:w="752"/>
        <w:gridCol w:w="753"/>
        <w:gridCol w:w="752"/>
        <w:gridCol w:w="752"/>
        <w:gridCol w:w="927"/>
        <w:gridCol w:w="578"/>
        <w:gridCol w:w="752"/>
        <w:gridCol w:w="752"/>
        <w:gridCol w:w="753"/>
      </w:tblGrid>
      <w:tr>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Gmina</w:t>
            </w:r>
          </w:p>
        </w:tc>
        <w:tc>
          <w:tcPr>
            <w:tcW w:w="14293" w:type="dxa"/>
            <w:gridSpan w:val="19"/>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Liczba zarejestrowanych podmiotów w rejestrze  REGON w podziale na sekcje PKD 2007</w:t>
            </w:r>
          </w:p>
        </w:tc>
      </w:tr>
      <w:tr>
        <w:trPr/>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A</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B</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C</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D</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E</w:t>
            </w:r>
          </w:p>
        </w:tc>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F</w:t>
            </w:r>
          </w:p>
        </w:tc>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G</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H</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I</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J</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K</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L</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M</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N</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O</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P</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Q</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R</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S i T</w:t>
            </w:r>
          </w:p>
        </w:tc>
      </w:tr>
      <w:tr>
        <w:trPr/>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Rolnictwo, leśnictwo, łowiectwo i rybactwo</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Górnictwo i wydobycie</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Przetwórstwo przemysłowe</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color w:val="000000"/>
                <w:sz w:val="12"/>
                <w:szCs w:val="12"/>
                <w:lang w:eastAsia="ar-SA"/>
              </w:rPr>
            </w:pPr>
            <w:r>
              <w:rPr>
                <w:rFonts w:eastAsia="Times New Roman" w:cs="Times New Roman" w:ascii="Times New Roman" w:hAnsi="Times New Roman"/>
                <w:color w:val="000000"/>
                <w:sz w:val="12"/>
                <w:szCs w:val="12"/>
                <w:lang w:eastAsia="ar-SA"/>
              </w:rPr>
              <w:t>Wytwarzanie i zaopatrywanie w energię elektryczną, gaz etc.</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Dostawa wody; gospodarowanie ściekami i odpadami, rekultywacja</w:t>
            </w:r>
            <w:r>
              <w:rPr>
                <w:rFonts w:eastAsia="Times New Roman" w:cs="Times New Roman" w:ascii="Times New Roman" w:hAnsi="Times New Roman"/>
                <w:sz w:val="12"/>
                <w:szCs w:val="12"/>
                <w:lang w:eastAsia="ar-SA"/>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color w:val="000000"/>
                <w:sz w:val="12"/>
                <w:szCs w:val="12"/>
                <w:lang w:eastAsia="ar-SA"/>
              </w:rPr>
              <w:t>Budownictwo</w:t>
            </w:r>
            <w:r>
              <w:rPr>
                <w:rFonts w:eastAsia="Times New Roman" w:cs="Times New Roman" w:ascii="Times New Roman" w:hAnsi="Times New Roman"/>
                <w:sz w:val="12"/>
                <w:szCs w:val="12"/>
                <w:lang w:eastAsia="ar-SA"/>
              </w:rPr>
              <w:t xml:space="preserve"> </w:t>
            </w:r>
          </w:p>
        </w:tc>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Handel hurtowy i detaliczny; naprawa pojazdów</w:t>
            </w:r>
            <w:r>
              <w:rPr>
                <w:rFonts w:eastAsia="Times New Roman" w:cs="Times New Roman" w:ascii="Times New Roman" w:hAnsi="Times New Roman"/>
                <w:sz w:val="12"/>
                <w:szCs w:val="12"/>
                <w:lang w:eastAsia="ar-SA"/>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Transport i gospodarka magazynowa</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Zakwaterowanie i usługi gastronomiczne</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Informacja i komunikacja</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finansowa i ubezpieczeniowa</w:t>
            </w:r>
            <w:r>
              <w:rPr>
                <w:rFonts w:eastAsia="Times New Roman" w:cs="Times New Roman" w:ascii="Times New Roman" w:hAnsi="Times New Roman"/>
                <w:sz w:val="12"/>
                <w:szCs w:val="12"/>
                <w:lang w:eastAsia="ar-SA"/>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Obsługa rynku nieruchomości</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profesjonalna, naukowa i techniczna</w:t>
            </w:r>
            <w:r>
              <w:rPr>
                <w:rFonts w:eastAsia="Times New Roman" w:cs="Times New Roman" w:ascii="Times New Roman" w:hAnsi="Times New Roman"/>
                <w:sz w:val="12"/>
                <w:szCs w:val="12"/>
                <w:lang w:eastAsia="ar-SA"/>
              </w:rP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w zakresie usług administrowania i działalność wspierająca</w:t>
            </w:r>
            <w:r>
              <w:rPr>
                <w:rFonts w:eastAsia="Times New Roman" w:cs="Times New Roman" w:ascii="Times New Roman" w:hAnsi="Times New Roman"/>
                <w:sz w:val="12"/>
                <w:szCs w:val="12"/>
                <w:lang w:eastAsia="ar-SA"/>
              </w:rPr>
              <w:t xml:space="preserve"> </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Administracja publiczna i obrona narodowa;  zabezpieczenia społeczne</w:t>
            </w:r>
            <w:r>
              <w:rPr>
                <w:rFonts w:eastAsia="Times New Roman" w:cs="Times New Roman" w:ascii="Times New Roman" w:hAnsi="Times New Roman"/>
                <w:sz w:val="12"/>
                <w:szCs w:val="12"/>
                <w:lang w:eastAsia="ar-SA"/>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Edukacja</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sz w:val="12"/>
                <w:szCs w:val="12"/>
                <w:lang w:eastAsia="ar-SA"/>
              </w:rPr>
            </w:pPr>
            <w:r>
              <w:rPr>
                <w:rFonts w:eastAsia="Times New Roman" w:cs="Times New Roman" w:ascii="Times New Roman" w:hAnsi="Times New Roman"/>
                <w:sz w:val="12"/>
                <w:szCs w:val="12"/>
                <w:lang w:eastAsia="ar-SA"/>
              </w:rPr>
              <w:t xml:space="preserve">Opieka zdrowotna i pomoc społeczna </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Działalność związana z kulturą, rozrywką i rekreacją</w:t>
            </w:r>
            <w:r>
              <w:rPr>
                <w:rFonts w:eastAsia="Times New Roman" w:cs="Times New Roman" w:ascii="Times New Roman" w:hAnsi="Times New Roman"/>
                <w:sz w:val="12"/>
                <w:szCs w:val="12"/>
                <w:lang w:eastAsia="ar-SA"/>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color w:val="000000"/>
                <w:sz w:val="12"/>
                <w:szCs w:val="12"/>
                <w:lang w:eastAsia="ar-SA"/>
              </w:rPr>
              <w:t>Pozostała działalność usługowa</w:t>
            </w:r>
            <w:r>
              <w:rPr>
                <w:rFonts w:eastAsia="Times New Roman" w:cs="Times New Roman" w:ascii="Times New Roman" w:hAnsi="Times New Roman"/>
                <w:sz w:val="12"/>
                <w:szCs w:val="12"/>
                <w:lang w:eastAsia="ar-SA"/>
              </w:rPr>
              <w:t xml:space="preserve">   </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31</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862"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38</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81</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171</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400</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37</w:t>
            </w:r>
          </w:p>
        </w:tc>
        <w:tc>
          <w:tcPr>
            <w:tcW w:w="75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32</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91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117</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752"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57</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18</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72</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0</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83</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169</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20</w:t>
            </w:r>
          </w:p>
        </w:tc>
        <w:tc>
          <w:tcPr>
            <w:tcW w:w="75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119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29</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25</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62"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109</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104</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13</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10</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rPr>
              <w:t>33</w:t>
            </w:r>
          </w:p>
        </w:tc>
      </w:tr>
      <w:tr>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RAZEM</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266</w:t>
            </w:r>
          </w:p>
        </w:tc>
        <w:tc>
          <w:tcPr>
            <w:tcW w:w="6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276</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color w:val="008000"/>
              </w:rPr>
            </w:pPr>
            <w:r>
              <w:rPr>
                <w:rFonts w:cs="Times New Roman" w:ascii="Times New Roman" w:hAnsi="Times New Roman"/>
                <w:b/>
              </w:rPr>
              <w:t>10</w:t>
            </w:r>
          </w:p>
        </w:tc>
        <w:tc>
          <w:tcPr>
            <w:tcW w:w="89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455</w:t>
            </w:r>
          </w:p>
        </w:tc>
        <w:tc>
          <w:tcPr>
            <w:tcW w:w="611"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787</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166</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77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29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color w:val="008000"/>
              </w:rPr>
            </w:pPr>
            <w:r>
              <w:rPr>
                <w:rFonts w:cs="Times New Roman" w:ascii="Times New Roman" w:hAnsi="Times New Roman"/>
                <w:b/>
              </w:rPr>
              <w:t>82</w:t>
            </w:r>
          </w:p>
        </w:tc>
        <w:tc>
          <w:tcPr>
            <w:tcW w:w="753" w:type="dxa"/>
            <w:tcBorders>
              <w:top w:val="single" w:sz="4" w:space="0" w:color="000000"/>
              <w:left w:val="single" w:sz="4" w:space="0" w:color="000000"/>
              <w:bottom w:val="single" w:sz="4" w:space="0" w:color="000000"/>
              <w:right w:val="single" w:sz="4" w:space="0" w:color="000000"/>
            </w:tcBorders>
            <w:shd w:fill="A8D08D" w:val="clear"/>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343</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151</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80</w:t>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31</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95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199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57</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rPr>
            </w:pPr>
            <w:r>
              <w:rPr>
                <w:rFonts w:cs="Times New Roman" w:ascii="Times New Roman" w:hAnsi="Times New Roman"/>
                <w:b/>
              </w:rPr>
              <w:t>208</w:t>
            </w:r>
          </w:p>
        </w:tc>
      </w:tr>
    </w:tbl>
    <w:p>
      <w:pPr>
        <w:sectPr>
          <w:footerReference w:type="default" r:id="rId10"/>
          <w:footnotePr>
            <w:numFmt w:val="decimal"/>
          </w:footnotePr>
          <w:type w:val="nextPage"/>
          <w:pgSz w:orient="landscape" w:w="16838" w:h="11906"/>
          <w:pgMar w:left="851" w:right="567" w:gutter="0" w:header="0" w:top="567" w:footer="708" w:bottom="764"/>
          <w:pgNumType w:fmt="decimal"/>
          <w:formProt w:val="false"/>
          <w:textDirection w:val="lrTb"/>
          <w:docGrid w:type="default" w:linePitch="360" w:charSpace="0"/>
        </w:sectPr>
        <w:pStyle w:val="Normal"/>
        <w:autoSpaceDE w:val="false"/>
        <w:spacing w:lineRule="auto" w:line="240" w:before="60" w:after="0"/>
        <w:rPr>
          <w:rFonts w:ascii="Times New Roman" w:hAnsi="Times New Roman" w:cs="Times New Roman"/>
          <w:iCs/>
        </w:rPr>
      </w:pPr>
      <w:r>
        <w:rPr>
          <w:rFonts w:cs="Times New Roman" w:ascii="Times New Roman" w:hAnsi="Times New Roman"/>
          <w:iCs/>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We wszystkich analizowanych gminach szczególnie istotnymi branżami są: Handel hurtowy i detaliczny; naprawa pojazdów (sekcja G) oraz Budownictwo (sekcja F). Dodatkowo w gminach Łobez i Resko szczególnie liczne są także przedsiębiorstwa, prowadzące działalność gospodarczą w zakresie obsługi rynku nieruchomości (sekcja L). W gminie Dobra i Łobez stosunkowo duża grupa firm zajmuje się przetwórstwem przemysłowym (sekcja C). Cechą wyróżniającą gminę Radowo Małe jest są zaś liczne podmioty działające w branży rolnictwa, leśnictwa, łowiectwa i rybactwa (sekcja A). </w:t>
      </w:r>
    </w:p>
    <w:p>
      <w:pPr>
        <w:pStyle w:val="Normal"/>
        <w:autoSpaceDE w:val="false"/>
        <w:spacing w:lineRule="auto" w:line="240" w:before="60" w:after="0"/>
        <w:jc w:val="both"/>
        <w:rPr>
          <w:rFonts w:ascii="Times New Roman" w:hAnsi="Times New Roman" w:cs="Times New Roman"/>
          <w:b/>
          <w:b/>
          <w:sz w:val="24"/>
          <w:szCs w:val="24"/>
        </w:rPr>
      </w:pPr>
      <w:r>
        <w:rPr>
          <w:rFonts w:cs="Times New Roman" w:ascii="Times New Roman" w:hAnsi="Times New Roman"/>
          <w:b/>
          <w:sz w:val="24"/>
          <w:szCs w:val="24"/>
        </w:rPr>
      </w:r>
    </w:p>
    <w:tbl>
      <w:tblPr>
        <w:tblW w:w="9328" w:type="dxa"/>
        <w:jc w:val="center"/>
        <w:tblInd w:w="0" w:type="dxa"/>
        <w:tblLayout w:type="fixed"/>
        <w:tblCellMar>
          <w:top w:w="0" w:type="dxa"/>
          <w:left w:w="108" w:type="dxa"/>
          <w:bottom w:w="0" w:type="dxa"/>
          <w:right w:w="108" w:type="dxa"/>
        </w:tblCellMar>
      </w:tblPr>
      <w:tblGrid>
        <w:gridCol w:w="2218"/>
        <w:gridCol w:w="1010"/>
        <w:gridCol w:w="1010"/>
        <w:gridCol w:w="1010"/>
        <w:gridCol w:w="1010"/>
        <w:gridCol w:w="1010"/>
        <w:gridCol w:w="1010"/>
        <w:gridCol w:w="1050"/>
      </w:tblGrid>
      <w:tr>
        <w:trPr/>
        <w:tc>
          <w:tcPr>
            <w:tcW w:w="2218"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sz w:val="24"/>
                <w:szCs w:val="24"/>
              </w:rPr>
              <w:t>Powiat</w:t>
            </w:r>
          </w:p>
        </w:tc>
        <w:tc>
          <w:tcPr>
            <w:tcW w:w="7110" w:type="dxa"/>
            <w:gridSpan w:val="7"/>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Przeciętne miesięczne wynagrodzenie brutto w relacji do średniej krajowej (Polska = 100)</w:t>
            </w:r>
          </w:p>
        </w:tc>
      </w:tr>
      <w:tr>
        <w:trPr/>
        <w:tc>
          <w:tcPr>
            <w:tcW w:w="2218"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2007</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2008</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2009</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2010</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2011</w:t>
            </w:r>
          </w:p>
        </w:tc>
        <w:tc>
          <w:tcPr>
            <w:tcW w:w="1010"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2012</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2013</w:t>
            </w:r>
          </w:p>
        </w:tc>
      </w:tr>
      <w:tr>
        <w:trPr/>
        <w:tc>
          <w:tcPr>
            <w:tcW w:w="2218" w:type="dxa"/>
            <w:tcBorders>
              <w:top w:val="single" w:sz="4" w:space="0" w:color="000000"/>
              <w:left w:val="single" w:sz="4" w:space="0" w:color="000000"/>
              <w:bottom w:val="single" w:sz="4" w:space="0" w:color="000000"/>
            </w:tcBorders>
          </w:tcPr>
          <w:p>
            <w:pPr>
              <w:pStyle w:val="Normal"/>
              <w:autoSpaceDE w:val="false"/>
              <w:spacing w:lineRule="auto" w:line="240" w:before="60" w:after="0"/>
              <w:rPr/>
            </w:pPr>
            <w:r>
              <w:rPr>
                <w:rFonts w:cs="Times New Roman" w:ascii="Times New Roman" w:hAnsi="Times New Roman"/>
                <w:sz w:val="24"/>
                <w:szCs w:val="24"/>
              </w:rPr>
              <w:t>Łobeski</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74,1</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74,7</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75,4</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76,9</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78,4</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82,3</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80,5</w:t>
            </w:r>
          </w:p>
        </w:tc>
      </w:tr>
      <w:tr>
        <w:trPr/>
        <w:tc>
          <w:tcPr>
            <w:tcW w:w="221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woj. zachodniopomorskie</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91,3</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91,2</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91,1</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90,8</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90,7</w:t>
            </w:r>
          </w:p>
        </w:tc>
        <w:tc>
          <w:tcPr>
            <w:tcW w:w="1010"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91,3</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91,3</w:t>
            </w:r>
          </w:p>
        </w:tc>
      </w:tr>
    </w:tbl>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bCs/>
          <w:sz w:val="24"/>
          <w:szCs w:val="24"/>
        </w:rPr>
        <w:t xml:space="preserve">Obszar LGD CIW charakteryzuje niski poziom wynagrodzenia brutto w stosunku do średniej ogólnopolskiej i wojewódzkiej, </w:t>
      </w:r>
      <w:r>
        <w:rPr>
          <w:rFonts w:cs="Times New Roman" w:ascii="Times New Roman" w:hAnsi="Times New Roman"/>
          <w:sz w:val="24"/>
          <w:szCs w:val="24"/>
        </w:rPr>
        <w:t>choć w latach 2007-2013 poziom wynagrodzenia brutto uległ pewnej poprawie.</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b/>
          <w:bCs/>
          <w:iCs/>
          <w:sz w:val="24"/>
          <w:szCs w:val="24"/>
        </w:rPr>
        <w:t xml:space="preserve">Podsumowanie: </w:t>
      </w:r>
      <w:r>
        <w:rPr>
          <w:rFonts w:cs="Times New Roman" w:ascii="Times New Roman" w:hAnsi="Times New Roman"/>
          <w:iCs/>
          <w:sz w:val="24"/>
          <w:szCs w:val="24"/>
        </w:rPr>
        <w:t>na obszarze LGD CIW występuje skrajnie niski wskaźnik aktywności zawodowej ludności oraz wysoka stopa bezrobocia, dotykająca szczególnie mocno kobiety. Większość mieszkańców zatrudniona jest w sektorze  przemysłu i budownictwa, rośnie jednak rola sektora usług oraz rolnictwa, leśnictwa, łowiectwa i rybactwa. Poziom przedsiębiorczości mieszkańców obszaru jest niższy od wskaźników wojewódzkich i krajowych, a między poszczególnymi gminami występują znaczne różnice w tym zakresie. Za strategiczne gałęzie gospodarki na analizowanym obszarze należy uznać handel, budownictwo i obsługę rynku nieruchomości. Poważnym problemem są także niskie zarobki mieszkańców, odbiegające znacząco od średniej krajowej i wojewódzkiej.</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Turystyka</w:t>
      </w:r>
    </w:p>
    <w:p>
      <w:pPr>
        <w:pStyle w:val="Normal"/>
        <w:autoSpaceDE w:val="false"/>
        <w:spacing w:lineRule="auto" w:line="240" w:before="60" w:after="0"/>
        <w:jc w:val="both"/>
        <w:rPr/>
      </w:pPr>
      <w:r>
        <w:rPr>
          <w:rFonts w:cs="Times New Roman" w:ascii="Times New Roman" w:hAnsi="Times New Roman"/>
          <w:sz w:val="24"/>
          <w:szCs w:val="24"/>
        </w:rPr>
        <w:t>Turystyka jest jednym z niewykorzystanych potencjałów obszarów. Jedną z głównych przeszkód w tym zakresie jest silna konkurencja ze strony okolicznych obszarów, gmin pasa nadmorskiego i Pojezierza Drawskiego.</w:t>
      </w:r>
    </w:p>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bl>
      <w:tblPr>
        <w:tblW w:w="9255" w:type="dxa"/>
        <w:jc w:val="center"/>
        <w:tblInd w:w="0" w:type="dxa"/>
        <w:tblLayout w:type="fixed"/>
        <w:tblCellMar>
          <w:top w:w="0" w:type="dxa"/>
          <w:left w:w="108" w:type="dxa"/>
          <w:bottom w:w="0" w:type="dxa"/>
          <w:right w:w="108" w:type="dxa"/>
        </w:tblCellMar>
      </w:tblPr>
      <w:tblGrid>
        <w:gridCol w:w="1535"/>
        <w:gridCol w:w="1535"/>
        <w:gridCol w:w="1535"/>
        <w:gridCol w:w="1535"/>
        <w:gridCol w:w="1539"/>
        <w:gridCol w:w="1576"/>
      </w:tblGrid>
      <w:tr>
        <w:trPr/>
        <w:tc>
          <w:tcPr>
            <w:tcW w:w="1535"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Gmina</w:t>
            </w:r>
          </w:p>
        </w:tc>
        <w:tc>
          <w:tcPr>
            <w:tcW w:w="1535"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Liczba obiektów noclegowych</w:t>
            </w:r>
          </w:p>
        </w:tc>
        <w:tc>
          <w:tcPr>
            <w:tcW w:w="4609" w:type="dxa"/>
            <w:gridSpan w:val="3"/>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shd w:fill="FFFF00" w:val="clear"/>
              </w:rPr>
            </w:pPr>
            <w:r>
              <w:rPr>
                <w:rFonts w:cs="Times New Roman" w:ascii="Times New Roman" w:hAnsi="Times New Roman"/>
                <w:b/>
                <w:bCs/>
                <w:sz w:val="24"/>
                <w:szCs w:val="24"/>
              </w:rPr>
              <w:t>Liczba udzielonych noclegów</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Wskaźnik Schneidera</w:t>
            </w:r>
            <w:r>
              <w:rPr>
                <w:rStyle w:val="Zakotwiczenieprzypisudolnego"/>
                <w:rFonts w:cs="Times New Roman" w:ascii="Times New Roman" w:hAnsi="Times New Roman"/>
                <w:b/>
                <w:bCs/>
                <w:sz w:val="24"/>
                <w:szCs w:val="24"/>
                <w:vertAlign w:val="superscript"/>
              </w:rPr>
              <w:footnoteReference w:id="3"/>
            </w:r>
          </w:p>
        </w:tc>
      </w:tr>
      <w:tr>
        <w:trPr/>
        <w:tc>
          <w:tcPr>
            <w:tcW w:w="1535"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c>
          <w:tcPr>
            <w:tcW w:w="1535"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c>
          <w:tcPr>
            <w:tcW w:w="153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w tym Polakom</w:t>
            </w:r>
          </w:p>
        </w:tc>
        <w:tc>
          <w:tcPr>
            <w:tcW w:w="153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w tym turystom zagranicznym</w:t>
            </w:r>
          </w:p>
        </w:tc>
        <w:tc>
          <w:tcPr>
            <w:tcW w:w="1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535" w:type="dxa"/>
            <w:tcBorders>
              <w:top w:val="single" w:sz="4" w:space="0" w:color="000000"/>
              <w:left w:val="single" w:sz="4" w:space="0" w:color="000000"/>
              <w:bottom w:val="single" w:sz="4" w:space="0" w:color="000000"/>
            </w:tcBorders>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4.209</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3.482</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727</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244,78</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b/>
                <w:b/>
                <w:bCs/>
                <w:sz w:val="24"/>
                <w:szCs w:val="24"/>
              </w:rPr>
            </w:pPr>
            <w:r>
              <w:rPr>
                <w:rFonts w:cs="Times New Roman" w:ascii="Times New Roman" w:hAnsi="Times New Roman"/>
                <w:sz w:val="24"/>
                <w:szCs w:val="24"/>
              </w:rPr>
              <w:t>0</w:t>
            </w:r>
          </w:p>
        </w:tc>
      </w:tr>
      <w:tr>
        <w:trPr/>
        <w:tc>
          <w:tcPr>
            <w:tcW w:w="1535"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sz w:val="24"/>
                <w:szCs w:val="24"/>
              </w:rPr>
            </w:pPr>
            <w:r>
              <w:rPr>
                <w:rFonts w:cs="Times New Roman"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1535" w:type="dxa"/>
            <w:tcBorders>
              <w:top w:val="single" w:sz="4" w:space="0" w:color="000000"/>
              <w:left w:val="single" w:sz="4" w:space="0" w:color="000000"/>
              <w:bottom w:val="single" w:sz="4" w:space="0" w:color="000000"/>
            </w:tcBorders>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4.209</w:t>
            </w:r>
          </w:p>
        </w:tc>
        <w:tc>
          <w:tcPr>
            <w:tcW w:w="1535"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3.482</w:t>
            </w:r>
          </w:p>
        </w:tc>
        <w:tc>
          <w:tcPr>
            <w:tcW w:w="1539" w:type="dxa"/>
            <w:tcBorders>
              <w:top w:val="single" w:sz="4" w:space="0" w:color="000000"/>
              <w:left w:val="single" w:sz="4" w:space="0" w:color="000000"/>
              <w:bottom w:val="single" w:sz="4" w:space="0" w:color="000000"/>
            </w:tcBorders>
            <w:vAlign w:val="bottom"/>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727</w:t>
            </w:r>
          </w:p>
        </w:tc>
        <w:tc>
          <w:tcPr>
            <w:tcW w:w="157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92,95</w:t>
            </w:r>
          </w:p>
        </w:tc>
      </w:tr>
    </w:tbl>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sz w:val="24"/>
          <w:szCs w:val="24"/>
        </w:rPr>
        <w:t xml:space="preserve">Według danych na koniec 2013 r. na obszarze LGD CIW funkcjonowały zaledwie 2 obiekty noclegowe </w:t>
      </w:r>
      <w:r>
        <w:rPr>
          <w:rFonts w:cs="Times New Roman" w:ascii="Times New Roman" w:hAnsi="Times New Roman"/>
          <w:sz w:val="24"/>
          <w:szCs w:val="24"/>
        </w:rPr>
        <w:t xml:space="preserve">w gminie Łobez, a na terenie pozostałych czterech badanych gmin nie ma żadnego. Z noclegów na analizowanym obszarze korzystają w przeważającej części Polacy, ale </w:t>
      </w:r>
      <w:r>
        <w:rPr>
          <w:rFonts w:cs="Times New Roman" w:ascii="Times New Roman" w:hAnsi="Times New Roman"/>
          <w:b/>
          <w:sz w:val="24"/>
          <w:szCs w:val="24"/>
        </w:rPr>
        <w:t>charakterystyczną cechą tego terenu jest dość duża popularność wśród turystów z zagranicy</w:t>
      </w:r>
      <w:r>
        <w:rPr>
          <w:rFonts w:cs="Times New Roman" w:ascii="Times New Roman" w:hAnsi="Times New Roman"/>
          <w:sz w:val="24"/>
          <w:szCs w:val="24"/>
        </w:rPr>
        <w:t xml:space="preserve"> (noclegi udzielone turystom zagranicznym stanowiły w 2013 r. aż 17,3%). Niewielka liczba obiektów zbiorowego zakwaterowania skutkuje </w:t>
      </w:r>
      <w:r>
        <w:rPr>
          <w:rFonts w:cs="Times New Roman" w:ascii="Times New Roman" w:hAnsi="Times New Roman"/>
          <w:b/>
          <w:sz w:val="24"/>
          <w:szCs w:val="24"/>
        </w:rPr>
        <w:t>skrajnie niskim wskaźnikiem natężenia ruchu turystycznego</w:t>
      </w:r>
      <w:r>
        <w:rPr>
          <w:rFonts w:cs="Times New Roman" w:ascii="Times New Roman" w:hAnsi="Times New Roman"/>
          <w:sz w:val="24"/>
          <w:szCs w:val="24"/>
        </w:rPr>
        <w:t>. Podczas, gdy wartość wskaźnika Schneidera dla województwa zachodniopomorskiego wyniosła w 2013 r. 1.215,98, a dla Polski 607,78, na analizowanym obszarze wskaźnik osiągnął wartość zaledwie 92,95 (</w:t>
      </w:r>
      <w:r>
        <w:rPr>
          <w:rFonts w:cs="Times New Roman" w:ascii="Times New Roman" w:hAnsi="Times New Roman"/>
          <w:b/>
          <w:sz w:val="24"/>
          <w:szCs w:val="24"/>
        </w:rPr>
        <w:t>sześciokrotnie mniej niż w kraju i dwunastokrotnie mniej niż w województwie zachodniopomorskim</w:t>
      </w:r>
      <w:r>
        <w:rPr>
          <w:rFonts w:cs="Times New Roman" w:ascii="Times New Roman" w:hAnsi="Times New Roman"/>
          <w:sz w:val="24"/>
          <w:szCs w:val="24"/>
        </w:rPr>
        <w:t>).</w:t>
      </w:r>
    </w:p>
    <w:p>
      <w:pPr>
        <w:pStyle w:val="Normal"/>
        <w:autoSpaceDE w:val="false"/>
        <w:spacing w:lineRule="auto" w:line="240" w:before="60" w:after="0"/>
        <w:jc w:val="both"/>
        <w:rPr/>
      </w:pPr>
      <w:r>
        <w:rPr>
          <w:rFonts w:cs="Times New Roman" w:ascii="Times New Roman" w:hAnsi="Times New Roman"/>
          <w:sz w:val="24"/>
          <w:szCs w:val="24"/>
        </w:rPr>
        <w:t xml:space="preserve">Na analizowanym terenie występują liczne obiekty zabytkowe, będące elementem potencjału turystycznego tego regionu. </w:t>
      </w:r>
      <w:r>
        <w:rPr>
          <w:rFonts w:cs="Times New Roman" w:ascii="Times New Roman" w:hAnsi="Times New Roman"/>
          <w:b/>
          <w:sz w:val="24"/>
          <w:szCs w:val="24"/>
        </w:rPr>
        <w:t>Na obszarze LGD CIW funkcjonuje 187 obiektów objętych opieką konserwatorską.</w:t>
      </w:r>
      <w:r>
        <w:rPr>
          <w:rFonts w:cs="Times New Roman" w:ascii="Times New Roman" w:hAnsi="Times New Roman"/>
          <w:sz w:val="24"/>
          <w:szCs w:val="24"/>
        </w:rPr>
        <w:t xml:space="preserve"> Największa liczba zabytków zlokalizowana jest na terenie gmin Resko i Węgorzyno (po 43 obiekty), najmniej zaś w gminie Radowo Małe (29 obiektów). Dane te pokazują, że obiekty o dużej wartości historycznej są stosunkowo równo rozłożone na obszarze.</w:t>
      </w:r>
    </w:p>
    <w:p>
      <w:pPr>
        <w:pStyle w:val="Normal"/>
        <w:autoSpaceDE w:val="false"/>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9252" w:type="dxa"/>
        <w:jc w:val="center"/>
        <w:tblInd w:w="0" w:type="dxa"/>
        <w:tblLayout w:type="fixed"/>
        <w:tblCellMar>
          <w:top w:w="0" w:type="dxa"/>
          <w:left w:w="108" w:type="dxa"/>
          <w:bottom w:w="0" w:type="dxa"/>
          <w:right w:w="108" w:type="dxa"/>
        </w:tblCellMar>
      </w:tblPr>
      <w:tblGrid>
        <w:gridCol w:w="2802"/>
        <w:gridCol w:w="6450"/>
      </w:tblGrid>
      <w:tr>
        <w:trPr/>
        <w:tc>
          <w:tcPr>
            <w:tcW w:w="2802" w:type="dxa"/>
            <w:tcBorders>
              <w:top w:val="single" w:sz="4" w:space="0" w:color="000000"/>
              <w:left w:val="single" w:sz="4" w:space="0" w:color="000000"/>
              <w:bottom w:val="single" w:sz="4" w:space="0" w:color="000000"/>
            </w:tcBorders>
          </w:tcPr>
          <w:p>
            <w:pPr>
              <w:pStyle w:val="Normal"/>
              <w:autoSpaceDE w:val="false"/>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rPr>
                <w:rFonts w:ascii="Times New Roman" w:hAnsi="Times New Roman" w:cs="Times New Roman"/>
                <w:sz w:val="24"/>
                <w:szCs w:val="24"/>
              </w:rPr>
            </w:pPr>
            <w:r>
              <w:rPr>
                <w:rFonts w:cs="Times New Roman" w:ascii="Times New Roman" w:hAnsi="Times New Roman"/>
                <w:b/>
                <w:bCs/>
                <w:sz w:val="24"/>
                <w:szCs w:val="24"/>
              </w:rPr>
              <w:t>Liczba obiektów zabytkowych wpisanych do rejestru zabytków</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32</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fill="F4B083" w:val="clea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29</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fill="A8D08D" w:val="clea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43</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fill="A8D08D" w:val="clea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sz w:val="24"/>
                <w:szCs w:val="24"/>
              </w:rPr>
              <w:t>43</w:t>
            </w:r>
          </w:p>
        </w:tc>
      </w:tr>
      <w:tr>
        <w:trPr/>
        <w:tc>
          <w:tcPr>
            <w:tcW w:w="280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sz w:val="24"/>
                <w:szCs w:val="24"/>
              </w:rPr>
            </w:pPr>
            <w:r>
              <w:rPr>
                <w:rFonts w:cs="Times New Roman"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187</w:t>
            </w:r>
          </w:p>
        </w:tc>
      </w:tr>
    </w:tbl>
    <w:p>
      <w:pPr>
        <w:pStyle w:val="Normal"/>
        <w:autoSpaceDE w:val="false"/>
        <w:spacing w:lineRule="auto" w:line="240" w:before="60" w:after="0"/>
        <w:jc w:val="both"/>
        <w:rPr>
          <w:rFonts w:ascii="Times New Roman" w:hAnsi="Times New Roman" w:cs="Times New Roman"/>
          <w:i/>
          <w:i/>
          <w:iCs/>
          <w:sz w:val="24"/>
          <w:szCs w:val="24"/>
        </w:rPr>
      </w:pPr>
      <w:r>
        <w:rPr>
          <w:rFonts w:cs="Times New Roman" w:ascii="Times New Roman" w:hAnsi="Times New Roman"/>
          <w:i/>
          <w:iCs/>
          <w:sz w:val="24"/>
          <w:szCs w:val="24"/>
        </w:rPr>
        <w:t>Źródło: opracowanie własne na podstawie danych Wojewódzkiego Konserwatora Zabytków w Szczecinie.</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Przez obszar LGD CIW przebiegają </w:t>
      </w:r>
      <w:r>
        <w:rPr>
          <w:rFonts w:cs="Times New Roman" w:ascii="Times New Roman" w:hAnsi="Times New Roman"/>
          <w:b/>
          <w:sz w:val="24"/>
          <w:szCs w:val="24"/>
        </w:rPr>
        <w:t>szlaki piesze</w:t>
      </w:r>
      <w:r>
        <w:rPr>
          <w:rFonts w:cs="Times New Roman" w:ascii="Times New Roman" w:hAnsi="Times New Roman"/>
          <w:sz w:val="24"/>
          <w:szCs w:val="24"/>
        </w:rPr>
        <w:t xml:space="preserve"> (Szlak Wzniesienia Moreny Czołowej, Błękitny Szlak Pojezierza Ińskiego, oba zlokalizowane w gminie Węgorzyno), </w:t>
      </w:r>
      <w:r>
        <w:rPr>
          <w:rFonts w:cs="Times New Roman" w:ascii="Times New Roman" w:hAnsi="Times New Roman"/>
          <w:b/>
          <w:sz w:val="24"/>
          <w:szCs w:val="24"/>
        </w:rPr>
        <w:t>rowerowe</w:t>
      </w:r>
      <w:r>
        <w:rPr>
          <w:rFonts w:cs="Times New Roman" w:ascii="Times New Roman" w:hAnsi="Times New Roman"/>
          <w:sz w:val="24"/>
          <w:szCs w:val="24"/>
        </w:rPr>
        <w:t xml:space="preserve"> (kilkanaście wytyczonych szlaków na terenie trzech gmin: Łobez, Resko i Węgorzyno), jeden </w:t>
      </w:r>
      <w:r>
        <w:rPr>
          <w:rFonts w:cs="Times New Roman" w:ascii="Times New Roman" w:hAnsi="Times New Roman"/>
          <w:b/>
          <w:sz w:val="24"/>
          <w:szCs w:val="24"/>
        </w:rPr>
        <w:t>szlak kajakowy</w:t>
      </w:r>
      <w:r>
        <w:rPr>
          <w:rFonts w:cs="Times New Roman" w:ascii="Times New Roman" w:hAnsi="Times New Roman"/>
          <w:sz w:val="24"/>
          <w:szCs w:val="24"/>
        </w:rPr>
        <w:t xml:space="preserve"> (rzeka Rega) i trzy </w:t>
      </w:r>
      <w:r>
        <w:rPr>
          <w:rFonts w:cs="Times New Roman" w:ascii="Times New Roman" w:hAnsi="Times New Roman"/>
          <w:b/>
          <w:sz w:val="24"/>
          <w:szCs w:val="24"/>
        </w:rPr>
        <w:t>szlaki konne</w:t>
      </w:r>
      <w:r>
        <w:rPr>
          <w:rFonts w:cs="Times New Roman" w:ascii="Times New Roman" w:hAnsi="Times New Roman"/>
          <w:sz w:val="24"/>
          <w:szCs w:val="24"/>
        </w:rPr>
        <w:t xml:space="preserve"> (w gminach Łobez i Resko). Lokalizacja istniejących szlaków wskazuje, że mamy tu do czynienia z dużą nierównowagą na obszarze LGD CIW. Większość takich obiektów znajduje się na terenie gminy Węgorzyno i Łobez, zaś na terenie gmin Dobra i Radowo Małe nie funkcjonują żadne szlaki turystyczne.</w:t>
      </w:r>
    </w:p>
    <w:p>
      <w:pPr>
        <w:pStyle w:val="Normal"/>
        <w:spacing w:lineRule="auto" w:line="240" w:before="60" w:after="0"/>
        <w:jc w:val="both"/>
        <w:rPr/>
      </w:pPr>
      <w:r>
        <w:rPr>
          <w:rFonts w:cs="Times New Roman" w:ascii="Times New Roman" w:hAnsi="Times New Roman"/>
          <w:sz w:val="24"/>
          <w:szCs w:val="24"/>
        </w:rPr>
        <w:t xml:space="preserve">Mimo licznych szlaków dla miłośników turystyki rowerowej, </w:t>
      </w:r>
      <w:r>
        <w:rPr>
          <w:rFonts w:cs="Times New Roman" w:ascii="Times New Roman" w:hAnsi="Times New Roman"/>
          <w:b/>
          <w:sz w:val="24"/>
          <w:szCs w:val="24"/>
        </w:rPr>
        <w:t>obszar LGD CIW charakteryzuje bardzo niewielka liczba istniejących ścieżek rowerowych</w:t>
      </w:r>
      <w:r>
        <w:rPr>
          <w:rFonts w:cs="Times New Roman" w:ascii="Times New Roman" w:hAnsi="Times New Roman"/>
          <w:sz w:val="24"/>
          <w:szCs w:val="24"/>
        </w:rPr>
        <w:t>. Pierwsze tego typu obiekty powstały dopiero w 2013 r. na terenie gm. Łobez (0,4 km) i gm. Resko (0,6 km), a więc</w:t>
      </w:r>
      <w:r>
        <w:rPr>
          <w:rFonts w:cs="Times New Roman" w:ascii="Times New Roman" w:hAnsi="Times New Roman"/>
          <w:b/>
          <w:sz w:val="24"/>
          <w:szCs w:val="24"/>
        </w:rPr>
        <w:t xml:space="preserve"> łączna długość ścieżek na całym obszarze rowerowych to zaledwie jeden kilometr</w:t>
      </w:r>
      <w:r>
        <w:rPr>
          <w:rFonts w:cs="Times New Roman" w:ascii="Times New Roman" w:hAnsi="Times New Roman"/>
          <w:sz w:val="24"/>
          <w:szCs w:val="24"/>
        </w:rPr>
        <w:t>. Konieczne są dalsze inwestycje w tym zakresie.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bCs/>
          <w:iCs/>
          <w:sz w:val="24"/>
          <w:szCs w:val="24"/>
        </w:rPr>
        <w:t>Podsumowanie</w:t>
      </w:r>
      <w:r>
        <w:rPr>
          <w:rFonts w:cs="Times New Roman" w:ascii="Times New Roman" w:hAnsi="Times New Roman"/>
          <w:iCs/>
          <w:sz w:val="24"/>
          <w:szCs w:val="24"/>
        </w:rPr>
        <w:t xml:space="preserve">: ruch turystyczny na obszarze LGD CIW koncentruje się w gminie Łobez </w:t>
        <w:br/>
        <w:t>i jest znacznie mniejszy niż średnia w województwie zachodniopomorskim i Polsce. Skromna baza noclegowa i nieliczne ścieżki rowerowe stanowią ograniczenie potencjału turystycznego. Dodatkowo sytuacją pogarsza fakt, że LGD CIW musi konkurować o turystów z pobliskim pasem nadmorskim oraz Pojezierzem Drawskim.</w:t>
      </w:r>
    </w:p>
    <w:p>
      <w:pPr>
        <w:pStyle w:val="Normal"/>
        <w:spacing w:lineRule="auto" w:line="240" w:before="60" w:after="0"/>
        <w:jc w:val="both"/>
        <w:rPr>
          <w:rFonts w:ascii="Times New Roman" w:hAnsi="Times New Roman" w:cs="Times New Roman"/>
          <w:b/>
          <w:b/>
          <w:bCs/>
          <w:sz w:val="24"/>
          <w:szCs w:val="24"/>
        </w:rPr>
      </w:pPr>
      <w:r>
        <w:rPr>
          <w:rFonts w:cs="Times New Roman" w:ascii="Times New Roman" w:hAnsi="Times New Roman"/>
          <w:b/>
          <w:bCs/>
          <w:sz w:val="24"/>
          <w:szCs w:val="24"/>
        </w:rPr>
        <w:t>Trzeci sektor</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b/>
          <w:bCs/>
          <w:sz w:val="24"/>
          <w:szCs w:val="24"/>
        </w:rPr>
        <w:t>Na obszarze LGD CIW występuje stosunkowo wysoki poziom aktywności organizacji pozarządowych.</w:t>
      </w:r>
      <w:r>
        <w:rPr>
          <w:rFonts w:cs="Times New Roman" w:ascii="Times New Roman" w:hAnsi="Times New Roman"/>
          <w:sz w:val="24"/>
          <w:szCs w:val="24"/>
        </w:rPr>
        <w:t xml:space="preserve"> Na terenie wszystkich analizowanych gmin występują stowarzyszenia i fundacje, prowadzące szeroki zakres działań społecznych i charytatywnych.</w:t>
      </w:r>
    </w:p>
    <w:tbl>
      <w:tblPr>
        <w:tblW w:w="9252" w:type="dxa"/>
        <w:jc w:val="center"/>
        <w:tblInd w:w="0" w:type="dxa"/>
        <w:tblLayout w:type="fixed"/>
        <w:tblCellMar>
          <w:top w:w="0" w:type="dxa"/>
          <w:left w:w="108" w:type="dxa"/>
          <w:bottom w:w="0" w:type="dxa"/>
          <w:right w:w="108" w:type="dxa"/>
        </w:tblCellMar>
      </w:tblPr>
      <w:tblGrid>
        <w:gridCol w:w="2802"/>
        <w:gridCol w:w="6450"/>
      </w:tblGrid>
      <w:tr>
        <w:trPr/>
        <w:tc>
          <w:tcPr>
            <w:tcW w:w="280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bCs/>
                <w:sz w:val="24"/>
                <w:szCs w:val="24"/>
              </w:rPr>
              <w:t>Liczba organizacji pozarządowych posiadających siedzibę na terenie danej gminy wg Krajowego Rejestru Sądowego</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fill="A8D08D" w:val="clea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2802"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sz w:val="24"/>
                <w:szCs w:val="24"/>
              </w:rPr>
              <w:t>14</w:t>
            </w:r>
          </w:p>
        </w:tc>
      </w:tr>
      <w:tr>
        <w:trPr/>
        <w:tc>
          <w:tcPr>
            <w:tcW w:w="2802"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right"/>
              <w:rPr>
                <w:rFonts w:ascii="Times New Roman" w:hAnsi="Times New Roman" w:cs="Times New Roman"/>
                <w:b/>
                <w:b/>
                <w:sz w:val="24"/>
                <w:szCs w:val="24"/>
              </w:rPr>
            </w:pPr>
            <w:r>
              <w:rPr>
                <w:rFonts w:cs="Times New Roman"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69</w:t>
            </w:r>
          </w:p>
        </w:tc>
      </w:tr>
    </w:tbl>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i/>
          <w:iCs/>
          <w:sz w:val="24"/>
          <w:szCs w:val="24"/>
        </w:rPr>
        <w:t>Źródło: opracowanie własne na podstawie danych Krajowego Rejestru Sądowego.</w:t>
      </w:r>
    </w:p>
    <w:p>
      <w:pPr>
        <w:pStyle w:val="Normal"/>
        <w:autoSpaceDE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Najwięcej organizacji pozarządowych posiada siedzibę na terenie gminy Łobez (łącznie ponad 1/3 wszystkich NGO na obszarze LGD CIW). Najmniej tego typu podmiotów posiada siedzibę w gminie Dobra (7 organizacji). Przy uwzględnieniu liczby mieszkańców poszczególnych gmin w</w:t>
      </w:r>
      <w:r>
        <w:rPr>
          <w:rFonts w:cs="Times New Roman" w:ascii="Times New Roman" w:hAnsi="Times New Roman"/>
          <w:bCs/>
          <w:sz w:val="24"/>
          <w:szCs w:val="24"/>
        </w:rPr>
        <w:t>skaźnik aktywności organizacji pozarządowych występuje na podobnym poziomie we wszystkich gminach i utrzymuje się na poziomie zgodnym ze średnią dla województwa zachodniopomorskiego i Polski.</w:t>
      </w:r>
      <w:r>
        <w:rPr>
          <w:rFonts w:cs="Times New Roman" w:ascii="Times New Roman" w:hAnsi="Times New Roman"/>
          <w:sz w:val="24"/>
          <w:szCs w:val="24"/>
        </w:rPr>
        <w:t xml:space="preserve"> </w:t>
      </w:r>
      <w:r>
        <w:rPr>
          <w:rFonts w:cs="Times New Roman" w:ascii="Times New Roman" w:hAnsi="Times New Roman"/>
          <w:b/>
          <w:bCs/>
          <w:sz w:val="24"/>
          <w:szCs w:val="24"/>
        </w:rPr>
        <w:t xml:space="preserve">W latach 2007-2014 na analizowanym obszarze zwiększyła się ogólna liczba organizacji pozarządowych, a także wskaźnik liczby organizacji pozarządowych na 1000 mieszkańców. </w:t>
      </w:r>
      <w:r>
        <w:rPr>
          <w:rFonts w:cs="Times New Roman" w:ascii="Times New Roman" w:hAnsi="Times New Roman"/>
          <w:bCs/>
          <w:sz w:val="24"/>
          <w:szCs w:val="24"/>
        </w:rPr>
        <w:t>Szczególnie duży przyrost nastąpił w gminach Radowo Małe i Węgorzyno.</w:t>
      </w:r>
    </w:p>
    <w:tbl>
      <w:tblPr>
        <w:tblW w:w="10065" w:type="dxa"/>
        <w:jc w:val="center"/>
        <w:tblInd w:w="0" w:type="dxa"/>
        <w:tblLayout w:type="fixed"/>
        <w:tblCellMar>
          <w:top w:w="0" w:type="dxa"/>
          <w:left w:w="108" w:type="dxa"/>
          <w:bottom w:w="0" w:type="dxa"/>
          <w:right w:w="108" w:type="dxa"/>
        </w:tblCellMar>
      </w:tblPr>
      <w:tblGrid>
        <w:gridCol w:w="2648"/>
        <w:gridCol w:w="769"/>
        <w:gridCol w:w="769"/>
        <w:gridCol w:w="769"/>
        <w:gridCol w:w="769"/>
        <w:gridCol w:w="769"/>
        <w:gridCol w:w="769"/>
        <w:gridCol w:w="769"/>
        <w:gridCol w:w="769"/>
        <w:gridCol w:w="1265"/>
      </w:tblGrid>
      <w:tr>
        <w:trPr/>
        <w:tc>
          <w:tcPr>
            <w:tcW w:w="2648" w:type="dxa"/>
            <w:vMerge w:val="restart"/>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bCs/>
                <w:sz w:val="24"/>
                <w:szCs w:val="24"/>
              </w:rPr>
            </w:pPr>
            <w:r>
              <w:rPr>
                <w:rFonts w:cs="Times New Roman" w:ascii="Times New Roman" w:hAnsi="Times New Roman"/>
                <w:b/>
                <w:sz w:val="24"/>
                <w:szCs w:val="24"/>
              </w:rPr>
              <w:t>Gmina</w:t>
            </w:r>
          </w:p>
        </w:tc>
        <w:tc>
          <w:tcPr>
            <w:tcW w:w="6152" w:type="dxa"/>
            <w:gridSpan w:val="8"/>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bCs/>
                <w:sz w:val="24"/>
                <w:szCs w:val="24"/>
              </w:rPr>
              <w:t>Fundacje, stowarzyszenia i organizacje społeczne na 1000 mieszkańców w latach 2007-2014</w:t>
            </w:r>
          </w:p>
        </w:tc>
        <w:tc>
          <w:tcPr>
            <w:tcW w:w="12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Zmiana w latach 2007-2014</w:t>
            </w:r>
          </w:p>
        </w:tc>
      </w:tr>
      <w:tr>
        <w:trPr/>
        <w:tc>
          <w:tcPr>
            <w:tcW w:w="2648" w:type="dxa"/>
            <w:vMerge w:val="continue"/>
            <w:tcBorders>
              <w:top w:val="single" w:sz="4" w:space="0" w:color="000000"/>
              <w:left w:val="single" w:sz="4" w:space="0" w:color="000000"/>
              <w:bottom w:val="single" w:sz="4" w:space="0" w:color="000000"/>
            </w:tcBorders>
            <w:vAlign w:val="center"/>
          </w:tcPr>
          <w:p>
            <w:pPr>
              <w:pStyle w:val="Normal"/>
              <w:autoSpaceDE w:val="false"/>
              <w:snapToGrid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2007</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2008</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2009</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2010</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2011</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2012</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2013</w:t>
            </w:r>
          </w:p>
        </w:tc>
        <w:tc>
          <w:tcPr>
            <w:tcW w:w="769" w:type="dxa"/>
            <w:tcBorders>
              <w:top w:val="single" w:sz="4" w:space="0" w:color="000000"/>
              <w:left w:val="single" w:sz="4" w:space="0" w:color="000000"/>
              <w:bottom w:val="single" w:sz="4" w:space="0" w:color="000000"/>
            </w:tcBorders>
            <w:vAlign w:val="center"/>
          </w:tcPr>
          <w:p>
            <w:pPr>
              <w:pStyle w:val="Normal"/>
              <w:autoSpaceDE w:val="false"/>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2014</w:t>
            </w:r>
          </w:p>
        </w:tc>
        <w:tc>
          <w:tcPr>
            <w:tcW w:w="12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2</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powiat łobeski</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woj. zachodniopomorskie</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w:t>
            </w:r>
          </w:p>
        </w:tc>
      </w:tr>
      <w:tr>
        <w:trPr/>
        <w:tc>
          <w:tcPr>
            <w:tcW w:w="2648" w:type="dxa"/>
            <w:tcBorders>
              <w:top w:val="single" w:sz="4" w:space="0" w:color="000000"/>
              <w:left w:val="single" w:sz="4" w:space="0" w:color="000000"/>
              <w:bottom w:val="single" w:sz="4" w:space="0" w:color="000000"/>
            </w:tcBorders>
            <w:vAlign w:val="center"/>
          </w:tcPr>
          <w:p>
            <w:pPr>
              <w:pStyle w:val="Normal"/>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POLSKA</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69" w:type="dxa"/>
            <w:tcBorders>
              <w:top w:val="single" w:sz="4" w:space="0" w:color="000000"/>
              <w:left w:val="single" w:sz="4" w:space="0" w:color="000000"/>
              <w:bottom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i/>
                <w:i/>
                <w:iCs/>
                <w:sz w:val="24"/>
                <w:szCs w:val="24"/>
              </w:rPr>
            </w:pPr>
            <w:r>
              <w:rPr>
                <w:rFonts w:cs="Times New Roman" w:ascii="Times New Roman" w:hAnsi="Times New Roman"/>
                <w:b/>
                <w:sz w:val="24"/>
                <w:szCs w:val="24"/>
              </w:rPr>
              <w:t>1</w:t>
            </w:r>
          </w:p>
        </w:tc>
      </w:tr>
    </w:tbl>
    <w:p>
      <w:pPr>
        <w:pStyle w:val="Normal"/>
        <w:suppressAutoHyphens w:val="true"/>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b/>
          <w:bCs/>
          <w:iCs/>
          <w:sz w:val="24"/>
          <w:szCs w:val="24"/>
        </w:rPr>
        <w:t>Podsumowanie:</w:t>
      </w:r>
      <w:r>
        <w:rPr>
          <w:rFonts w:eastAsia="Times New Roman" w:cs="Times New Roman" w:ascii="Times New Roman" w:hAnsi="Times New Roman"/>
          <w:iCs/>
          <w:sz w:val="24"/>
          <w:szCs w:val="24"/>
        </w:rPr>
        <w:t xml:space="preserve"> na obszarze LGD CIW występuje umiarkowane nasycenie organizacjami pozarządowymi, ale ich liczba w latach 2007-2014 rośnie i osiągnęła średni poziom wojewódzki i ogólnopolski.</w:t>
      </w:r>
    </w:p>
    <w:p>
      <w:pPr>
        <w:pStyle w:val="Normal"/>
        <w:suppressAutoHyphens w:val="true"/>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uppressAutoHyphens w:val="true"/>
        <w:spacing w:lineRule="auto" w:line="240" w:before="60" w:after="0"/>
        <w:rPr>
          <w:rFonts w:ascii="Times New Roman" w:hAnsi="Times New Roman" w:cs="Times New Roman"/>
          <w:sz w:val="24"/>
          <w:szCs w:val="24"/>
        </w:rPr>
      </w:pPr>
      <w:r>
        <w:rPr>
          <w:rFonts w:eastAsia="Times New Roman" w:cs="Times New Roman" w:ascii="Times New Roman" w:hAnsi="Times New Roman"/>
          <w:b/>
          <w:bCs/>
          <w:sz w:val="24"/>
          <w:szCs w:val="24"/>
        </w:rPr>
        <w:t>Wykluczenie społeczne</w:t>
      </w:r>
    </w:p>
    <w:p>
      <w:pPr>
        <w:pStyle w:val="Normal"/>
        <w:suppressAutoHyphens w:val="true"/>
        <w:spacing w:lineRule="auto" w:line="240" w:before="60" w:after="0"/>
        <w:jc w:val="both"/>
        <w:rPr/>
      </w:pPr>
      <w:r>
        <w:rPr>
          <w:rFonts w:cs="Times New Roman" w:ascii="Times New Roman" w:hAnsi="Times New Roman"/>
          <w:sz w:val="24"/>
          <w:szCs w:val="24"/>
        </w:rPr>
        <w:t>Jednym z głównych problemów obszaru LGD CIW jest stosunkowo wysoki odsetek osób wykluczonych społecznie. Świadczą o tym dane dotyczące poziomu bezrobocia wśród mieszkańców oraz znaczny odsetek mieszkańców korzystających z pomocy społecznej.</w:t>
      </w:r>
    </w:p>
    <w:p>
      <w:pPr>
        <w:pStyle w:val="Normal"/>
        <w:suppressAutoHyphens w:val="true"/>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Na analizowanym obszarze w 2013 r. ze świadczeń pomocy społecznej korzystało 5.890 osób (aż 15,5% mieszkańców)</w:t>
      </w:r>
      <w:r>
        <w:rPr>
          <w:rFonts w:cs="Times New Roman" w:ascii="Times New Roman" w:hAnsi="Times New Roman"/>
          <w:sz w:val="24"/>
          <w:szCs w:val="24"/>
        </w:rPr>
        <w:t xml:space="preserve">. Na przestrzeni lat 2009-2013 liczba osób korzystających z rozmaitych zasiłków zmniejszyła </w:t>
        <w:br/>
        <w:t xml:space="preserve">się na całym obszarze LGD o prawie 650 osób. W liczbach bezwzględnych największy spadek odnotowały gminy Radowo Małe (-268 osób, tj. </w:t>
      </w:r>
      <w:r>
        <w:rPr>
          <w:rFonts w:eastAsia="Times New Roman" w:cs="Times New Roman" w:ascii="Times New Roman" w:hAnsi="Times New Roman"/>
          <w:sz w:val="24"/>
          <w:szCs w:val="24"/>
        </w:rPr>
        <w:t>-6,9%</w:t>
      </w:r>
      <w:r>
        <w:rPr>
          <w:rFonts w:cs="Times New Roman" w:ascii="Times New Roman" w:hAnsi="Times New Roman"/>
          <w:sz w:val="24"/>
          <w:szCs w:val="24"/>
        </w:rPr>
        <w:t xml:space="preserve">), z kolei w gminie Dobra liczba osób korzystających ze wsparcia opieki społecznej uległa  zwiększeniu (o 74 osoby, tj. +1,3%). </w:t>
      </w:r>
    </w:p>
    <w:p>
      <w:pPr>
        <w:pStyle w:val="Normal"/>
        <w:suppressAutoHyphens w:val="true"/>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bl>
      <w:tblPr>
        <w:tblW w:w="10347" w:type="dxa"/>
        <w:jc w:val="center"/>
        <w:tblInd w:w="0" w:type="dxa"/>
        <w:tblLayout w:type="fixed"/>
        <w:tblCellMar>
          <w:top w:w="55" w:type="dxa"/>
          <w:left w:w="55" w:type="dxa"/>
          <w:bottom w:w="55" w:type="dxa"/>
          <w:right w:w="55" w:type="dxa"/>
        </w:tblCellMar>
      </w:tblPr>
      <w:tblGrid>
        <w:gridCol w:w="2126"/>
        <w:gridCol w:w="1121"/>
        <w:gridCol w:w="1194"/>
        <w:gridCol w:w="1194"/>
        <w:gridCol w:w="1194"/>
        <w:gridCol w:w="1194"/>
        <w:gridCol w:w="2324"/>
      </w:tblGrid>
      <w:tr>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Gmina</w:t>
            </w:r>
          </w:p>
        </w:tc>
        <w:tc>
          <w:tcPr>
            <w:tcW w:w="5897"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Zasięg korzystania z pomocy społecznej</w:t>
            </w:r>
          </w:p>
        </w:tc>
        <w:tc>
          <w:tcPr>
            <w:tcW w:w="23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Zmiana w latach 2009-2013</w:t>
            </w:r>
          </w:p>
        </w:tc>
      </w:tr>
      <w:tr>
        <w:trPr/>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2009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2012</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2013</w:t>
            </w:r>
          </w:p>
        </w:tc>
        <w:tc>
          <w:tcPr>
            <w:tcW w:w="23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14,3%</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17,9%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15,9%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15,6%</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13,6%</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12,8%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12,4%</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34,5%</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20,9%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23,4%</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27,6%</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-6,9%</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14,7%</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18,0%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18,5%</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17,8%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16,9%</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16,2%</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sz w:val="24"/>
                <w:szCs w:val="24"/>
              </w:rPr>
              <w:t>-1,8%</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cs="Times New Roman"/>
                <w:b/>
                <w:b/>
                <w:sz w:val="24"/>
                <w:szCs w:val="24"/>
              </w:rPr>
            </w:pPr>
            <w:r>
              <w:rPr>
                <w:rFonts w:cs="Times New Roman" w:ascii="Times New Roman" w:hAnsi="Times New Roman"/>
                <w:b/>
                <w:sz w:val="24"/>
                <w:szCs w:val="24"/>
              </w:rPr>
              <w:t>pow. łobeski</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17,1%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15,5%</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sz w:val="24"/>
                <w:szCs w:val="24"/>
              </w:rPr>
            </w:pPr>
            <w:r>
              <w:rPr>
                <w:rFonts w:cs="Times New Roman" w:ascii="Times New Roman" w:hAnsi="Times New Roman"/>
                <w:b/>
                <w:sz w:val="24"/>
                <w:szCs w:val="24"/>
              </w:rPr>
              <w:t>-1,6%</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sz w:val="24"/>
                <w:szCs w:val="24"/>
              </w:rPr>
            </w:pPr>
            <w:r>
              <w:rPr>
                <w:rFonts w:eastAsia="Times New Roman" w:cs="Times New Roman" w:ascii="Times New Roman" w:hAnsi="Times New Roman"/>
                <w:b/>
                <w:bCs/>
                <w:sz w:val="24"/>
                <w:szCs w:val="24"/>
              </w:rPr>
              <w:t>woj. zachodniopomorskie</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10,8%</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10,4%</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9,7%</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sz w:val="24"/>
                <w:szCs w:val="24"/>
              </w:rPr>
              <w:t>-1,1%</w:t>
            </w:r>
          </w:p>
        </w:tc>
      </w:tr>
      <w:tr>
        <w:trPr/>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sz w:val="24"/>
                <w:szCs w:val="24"/>
              </w:rPr>
            </w:pPr>
            <w:r>
              <w:rPr>
                <w:rFonts w:eastAsia="Times New Roman" w:cs="Times New Roman" w:ascii="Times New Roman" w:hAnsi="Times New Roman"/>
                <w:b/>
                <w:bCs/>
                <w:sz w:val="24"/>
                <w:szCs w:val="24"/>
              </w:rPr>
              <w:t>Polska</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8,7%</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8,1%</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8,3%</w:t>
            </w:r>
          </w:p>
        </w:tc>
        <w:tc>
          <w:tcPr>
            <w:tcW w:w="232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sz w:val="24"/>
                <w:szCs w:val="24"/>
              </w:rPr>
            </w:pPr>
            <w:r>
              <w:rPr>
                <w:rFonts w:eastAsia="Times New Roman" w:cs="Times New Roman" w:ascii="Times New Roman" w:hAnsi="Times New Roman"/>
                <w:b/>
                <w:sz w:val="24"/>
                <w:szCs w:val="24"/>
              </w:rPr>
              <w:t>-0,8%</w:t>
            </w:r>
          </w:p>
        </w:tc>
      </w:tr>
    </w:tbl>
    <w:p>
      <w:pPr>
        <w:pStyle w:val="Normal"/>
        <w:suppressAutoHyphens w:val="true"/>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Dane procentowe potwierdzają, że zasięg korzystania z pomocy społecznej jest największy w gminie Radowo Małe, przekraczając prawie trzykrotnie średnie w skali wojewódzkiej i ogólnopolskiej. W latach 2009-2013 na tym obszarze zanotowano równocześnie największy spadek, tj. o blisko 7%. Na terenie pozostałych gmin zasięg również jest wyższy niż statystyki województwa zachodniopomorskiego i Polski. Znacznym problemem na obszarze jest szeroki zakres występowania zasiłków rodzinnych. Choć ich odsetek uległ znacznemu zmniejszeniu w analizowanych latach (spadek o ponad 20%), to w przypadku gmin Radowo Małe i Węgorzyno, wciąż jeszcze co drugie dziecko w wieku do 17 lat jest objęte świadczeniem z zakresu pomocy społecznej. Również w pozostałych trzech gminach jest to ok. 40% badanej grupy.</w:t>
      </w:r>
    </w:p>
    <w:p>
      <w:pPr>
        <w:pStyle w:val="Normal"/>
        <w:suppressAutoHyphens w:val="true"/>
        <w:spacing w:lineRule="auto" w:line="240" w:before="60" w:after="0"/>
        <w:jc w:val="both"/>
        <w:rPr>
          <w:rFonts w:ascii="Times New Roman" w:hAnsi="Times New Roman" w:cs="Times New Roman"/>
          <w:sz w:val="24"/>
          <w:szCs w:val="24"/>
        </w:rPr>
      </w:pPr>
      <w:r>
        <w:rPr>
          <w:rFonts w:eastAsia="Times New Roman" w:cs="Times New Roman" w:ascii="Times New Roman" w:hAnsi="Times New Roman"/>
          <w:b/>
          <w:sz w:val="24"/>
          <w:szCs w:val="24"/>
        </w:rPr>
        <w:t>Mimo zmniejszającej się liczby osób korzystających z pomocy społecznej na terenie powiatu łobeskiego, dynamicznie rosną wydatki samorządów lokalnych na ten cel.</w:t>
      </w:r>
      <w:r>
        <w:rPr>
          <w:rFonts w:eastAsia="Times New Roman" w:cs="Times New Roman" w:ascii="Times New Roman" w:hAnsi="Times New Roman"/>
          <w:sz w:val="24"/>
          <w:szCs w:val="24"/>
        </w:rPr>
        <w:t xml:space="preserve"> Największy przyrost w latach 2008-2013 nastąpił w gminach Łobez (ponad 2 mln złotych) i Resko (1,3 mln złotych).</w:t>
      </w:r>
      <w:r>
        <mc:AlternateContent>
          <mc:Choice Requires="wps">
            <w:drawing>
              <wp:anchor behindDoc="0" distT="0" distB="0" distL="89535" distR="89535" simplePos="0" locked="0" layoutInCell="0" allowOverlap="1" relativeHeight="12">
                <wp:simplePos x="0" y="0"/>
                <wp:positionH relativeFrom="margin">
                  <wp:align>center</wp:align>
                </wp:positionH>
                <wp:positionV relativeFrom="paragraph">
                  <wp:posOffset>84455</wp:posOffset>
                </wp:positionV>
                <wp:extent cx="5851525" cy="3237865"/>
                <wp:effectExtent l="0" t="0" r="0" b="0"/>
                <wp:wrapSquare wrapText="bothSides"/>
                <wp:docPr id="11" name="Ramka4"/>
                <a:graphic xmlns:a="http://schemas.openxmlformats.org/drawingml/2006/main">
                  <a:graphicData uri="http://schemas.microsoft.com/office/word/2010/wordprocessingShape">
                    <wps:wsp>
                      <wps:cNvSpPr txBox="1"/>
                      <wps:spPr>
                        <a:xfrm>
                          <a:off x="0" y="0"/>
                          <a:ext cx="5851525" cy="3237865"/>
                        </a:xfrm>
                        <a:prstGeom prst="rect"/>
                        <a:solidFill>
                          <a:srgbClr val="FFFFFF">
                            <a:alpha val="0"/>
                          </a:srgbClr>
                        </a:solidFill>
                      </wps:spPr>
                      <wps:txbx>
                        <w:txbxContent>
                          <w:tbl>
                            <w:tblPr>
                              <w:tblW w:w="9215" w:type="dxa"/>
                              <w:jc w:val="left"/>
                              <w:tblInd w:w="-5" w:type="dxa"/>
                              <w:tblLayout w:type="fixed"/>
                              <w:tblCellMar>
                                <w:top w:w="55" w:type="dxa"/>
                                <w:left w:w="55" w:type="dxa"/>
                                <w:bottom w:w="55" w:type="dxa"/>
                                <w:right w:w="55" w:type="dxa"/>
                              </w:tblCellMar>
                            </w:tblPr>
                            <w:tblGrid>
                              <w:gridCol w:w="1484"/>
                              <w:gridCol w:w="956"/>
                              <w:gridCol w:w="957"/>
                              <w:gridCol w:w="957"/>
                              <w:gridCol w:w="957"/>
                              <w:gridCol w:w="957"/>
                              <w:gridCol w:w="960"/>
                              <w:gridCol w:w="1987"/>
                            </w:tblGrid>
                            <w:tr>
                              <w:trPr/>
                              <w:tc>
                                <w:tcPr>
                                  <w:tcW w:w="14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Gmina</w:t>
                                  </w:r>
                                </w:p>
                              </w:tc>
                              <w:tc>
                                <w:tcPr>
                                  <w:tcW w:w="5744"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Udział dzieci w wieku do lat 17, na które rodzice otrzymują zasiłek rodzinny w ogólnej liczbie dzieci w tym wieku</w:t>
                                  </w:r>
                                </w:p>
                              </w:tc>
                              <w:tc>
                                <w:tcPr>
                                  <w:tcW w:w="19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Zmiana w latach 2008-2013</w:t>
                                  </w:r>
                                </w:p>
                              </w:tc>
                            </w:tr>
                            <w:tr>
                              <w:trPr/>
                              <w:tc>
                                <w:tcPr>
                                  <w:tcW w:w="14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2013</w:t>
                                  </w:r>
                                </w:p>
                              </w:tc>
                              <w:tc>
                                <w:tcPr>
                                  <w:tcW w:w="19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FF0000"/>
                                      <w:shd w:fill="FFFF00" w:val="clear"/>
                                    </w:rPr>
                                  </w:pPr>
                                  <w:r>
                                    <w:rPr>
                                      <w:rFonts w:cs="Times New Roman" w:ascii="Times New Roman" w:hAnsi="Times New Roman"/>
                                    </w:rPr>
                                    <w:t>Dobra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Łobez</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47,3%</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Radowo Małe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Resko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46,8%</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Węgorzyno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rPr>
                                    <w:t>61,6%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59,2%</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-18,8%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cs="Times New Roman" w:ascii="Times New Roman" w:hAnsi="Times New Roman"/>
                                      <w:b/>
                                    </w:rPr>
                                    <w:t>pow. łobeski</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64,1%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58,6%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46,0%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b/>
                                    </w:rPr>
                                    <w:t>-20,5%</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woj. zachodnio-pomorskie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45,5%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34,9%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31,7%</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29,5%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rPr>
                                    <w:t>-16,0%</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Polska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46,0%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32,2%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30,2%</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rPr>
                                  </w:pPr>
                                  <w:r>
                                    <w:rPr>
                                      <w:rFonts w:eastAsia="Times New Roman" w:cs="Times New Roman" w:ascii="Times New Roman" w:hAnsi="Times New Roman"/>
                                      <w:b/>
                                    </w:rPr>
                                    <w:t>-15,8%</w:t>
                                  </w:r>
                                </w:p>
                              </w:tc>
                            </w:tr>
                          </w:tbl>
                        </w:txbxContent>
                      </wps:txbx>
                      <wps:bodyPr anchor="t" lIns="0" tIns="0" rIns="0" bIns="0">
                        <a:noAutofit/>
                      </wps:bodyPr>
                    </wps:wsp>
                  </a:graphicData>
                </a:graphic>
              </wp:anchor>
            </w:drawing>
          </mc:Choice>
          <mc:Fallback>
            <w:pict>
              <v:rect fillcolor="#FFFFFF" style="position:absolute;rotation:0;width:460.75pt;height:254.95pt;mso-wrap-distance-left:7.05pt;mso-wrap-distance-right:7.05pt;mso-wrap-distance-top:0pt;mso-wrap-distance-bottom:0pt;margin-top:6.65pt;mso-position-vertical-relative:text;margin-left:31.85pt;mso-position-horizontal:center;mso-position-horizontal-relative:margin">
                <v:fill opacity="0f"/>
                <v:textbox inset="0in,0in,0in,0in">
                  <w:txbxContent>
                    <w:tbl>
                      <w:tblPr>
                        <w:tblW w:w="9215" w:type="dxa"/>
                        <w:jc w:val="left"/>
                        <w:tblInd w:w="-5" w:type="dxa"/>
                        <w:tblLayout w:type="fixed"/>
                        <w:tblCellMar>
                          <w:top w:w="55" w:type="dxa"/>
                          <w:left w:w="55" w:type="dxa"/>
                          <w:bottom w:w="55" w:type="dxa"/>
                          <w:right w:w="55" w:type="dxa"/>
                        </w:tblCellMar>
                      </w:tblPr>
                      <w:tblGrid>
                        <w:gridCol w:w="1484"/>
                        <w:gridCol w:w="956"/>
                        <w:gridCol w:w="957"/>
                        <w:gridCol w:w="957"/>
                        <w:gridCol w:w="957"/>
                        <w:gridCol w:w="957"/>
                        <w:gridCol w:w="960"/>
                        <w:gridCol w:w="1987"/>
                      </w:tblGrid>
                      <w:tr>
                        <w:trPr/>
                        <w:tc>
                          <w:tcPr>
                            <w:tcW w:w="14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Gmina</w:t>
                            </w:r>
                          </w:p>
                        </w:tc>
                        <w:tc>
                          <w:tcPr>
                            <w:tcW w:w="5744"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Udział dzieci w wieku do lat 17, na które rodzice otrzymują zasiłek rodzinny w ogólnej liczbie dzieci w tym wieku</w:t>
                            </w:r>
                          </w:p>
                        </w:tc>
                        <w:tc>
                          <w:tcPr>
                            <w:tcW w:w="19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Zmiana w latach 2008-2013</w:t>
                            </w:r>
                          </w:p>
                        </w:tc>
                      </w:tr>
                      <w:tr>
                        <w:trPr/>
                        <w:tc>
                          <w:tcPr>
                            <w:tcW w:w="14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2013</w:t>
                            </w:r>
                          </w:p>
                        </w:tc>
                        <w:tc>
                          <w:tcPr>
                            <w:tcW w:w="19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FF0000"/>
                                <w:shd w:fill="FFFF00" w:val="clear"/>
                              </w:rPr>
                            </w:pPr>
                            <w:r>
                              <w:rPr>
                                <w:rFonts w:cs="Times New Roman" w:ascii="Times New Roman" w:hAnsi="Times New Roman"/>
                              </w:rPr>
                              <w:t>Dobra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44,4%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40,5%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-24,3%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Łobez</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47,3%</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-17,9%</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Radowo Małe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73,4%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51,4%</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50,1%</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-23,3%</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Resko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65,4%</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56,7%</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46,8%</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42,6%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-22,8%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eastAsia="Times New Roman" w:cs="Times New Roman"/>
                                <w:color w:val="000000"/>
                              </w:rPr>
                            </w:pPr>
                            <w:r>
                              <w:rPr>
                                <w:rFonts w:cs="Times New Roman" w:ascii="Times New Roman" w:hAnsi="Times New Roman"/>
                              </w:rPr>
                              <w:t>Węgorzyno</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rPr>
                              <w:t>61,6%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59,2%</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49,2%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48,0%</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-18,8%</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cs="Times New Roman" w:ascii="Times New Roman" w:hAnsi="Times New Roman"/>
                                <w:b/>
                              </w:rPr>
                              <w:t>pow. łobeski</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64,1%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58,6%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55,0%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50,9%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46,0%</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43,6%</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b/>
                              </w:rPr>
                              <w:t>-20,5%</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woj. zachodnio-pomorskie</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45,5%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40,8%</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37,5%</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34,9%</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31,7%</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29,5%</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rPr>
                              <w:t>-16,0%</w:t>
                            </w:r>
                          </w:p>
                        </w:tc>
                      </w:tr>
                      <w:tr>
                        <w:trPr/>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bCs/>
                              </w:rPr>
                            </w:pPr>
                            <w:r>
                              <w:rPr>
                                <w:rFonts w:eastAsia="Times New Roman" w:cs="Times New Roman" w:ascii="Times New Roman" w:hAnsi="Times New Roman"/>
                                <w:b/>
                                <w:bCs/>
                              </w:rPr>
                              <w:t>Polska</w:t>
                            </w:r>
                          </w:p>
                        </w:tc>
                        <w:tc>
                          <w:tcPr>
                            <w:tcW w:w="95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46,0%</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41,1%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37,6%</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35,1%</w:t>
                            </w:r>
                          </w:p>
                        </w:tc>
                        <w:tc>
                          <w:tcPr>
                            <w:tcW w:w="9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32,2%</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30,2%</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rPr>
                            </w:pPr>
                            <w:r>
                              <w:rPr>
                                <w:rFonts w:eastAsia="Times New Roman" w:cs="Times New Roman" w:ascii="Times New Roman" w:hAnsi="Times New Roman"/>
                                <w:b/>
                              </w:rPr>
                              <w:t>-15,8%</w:t>
                            </w:r>
                          </w:p>
                        </w:tc>
                      </w:tr>
                    </w:tbl>
                  </w:txbxContent>
                </v:textbox>
                <w10:wrap type="square"/>
              </v:rect>
            </w:pict>
          </mc:Fallback>
        </mc:AlternateContent>
      </w:r>
    </w:p>
    <w:p>
      <w:pPr>
        <w:pStyle w:val="Normal"/>
        <w:suppressAutoHyphens w:val="true"/>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bl>
      <w:tblPr>
        <w:tblW w:w="9098" w:type="dxa"/>
        <w:jc w:val="center"/>
        <w:tblInd w:w="0" w:type="dxa"/>
        <w:tblLayout w:type="fixed"/>
        <w:tblCellMar>
          <w:top w:w="55" w:type="dxa"/>
          <w:left w:w="55" w:type="dxa"/>
          <w:bottom w:w="55" w:type="dxa"/>
          <w:right w:w="55" w:type="dxa"/>
        </w:tblCellMar>
      </w:tblPr>
      <w:tblGrid>
        <w:gridCol w:w="1200"/>
        <w:gridCol w:w="1080"/>
        <w:gridCol w:w="1080"/>
        <w:gridCol w:w="1080"/>
        <w:gridCol w:w="1080"/>
        <w:gridCol w:w="1080"/>
        <w:gridCol w:w="1080"/>
        <w:gridCol w:w="1418"/>
      </w:tblGrid>
      <w:tr>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Gmina</w:t>
            </w:r>
          </w:p>
        </w:tc>
        <w:tc>
          <w:tcPr>
            <w:tcW w:w="648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40" w:before="60" w:after="0"/>
              <w:jc w:val="center"/>
              <w:rPr/>
            </w:pPr>
            <w:r>
              <w:rPr>
                <w:rFonts w:eastAsia="Times New Roman" w:cs="Times New Roman" w:ascii="Times New Roman" w:hAnsi="Times New Roman"/>
                <w:b/>
                <w:bCs/>
                <w:sz w:val="24"/>
                <w:szCs w:val="24"/>
              </w:rPr>
              <w:t>Wydatki na pomoc społeczną w latach 2008-2013 w tyś. Zł</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Zmiana w latach 2008-2013</w:t>
            </w:r>
          </w:p>
        </w:tc>
      </w:tr>
      <w:tr>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2008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2009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2011</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2013</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2.694,6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2.774,2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2.853,2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2.923,6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3.121,2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3.042,6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348,0</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8.133,6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8.110,7</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9.038,3</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9.461,6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9.826,9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10.161,4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2.027,8</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2.203,3</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2.224,2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sz w:val="24"/>
                <w:szCs w:val="24"/>
              </w:rPr>
              <w:t>2.420,9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2.261,0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2.345,8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2.449,8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246,4</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4.355,0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4.606,7</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5.038,6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5.229,6</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5.437,8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5.726,6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1.371,6</w:t>
            </w:r>
          </w:p>
        </w:tc>
      </w:tr>
      <w:tr>
        <w:trPr/>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4.199,4</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4.342,1</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4.789,9</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4.633,3</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4.830,8</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4.957,6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758,2</w:t>
            </w:r>
          </w:p>
        </w:tc>
      </w:tr>
    </w:tbl>
    <w:p>
      <w:pPr>
        <w:pStyle w:val="Normal"/>
        <w:suppressAutoHyphens w:val="true"/>
        <w:spacing w:lineRule="auto" w:line="240" w:before="60" w:after="0"/>
        <w:jc w:val="both"/>
        <w:rPr/>
      </w:pPr>
      <w:r>
        <w:rPr>
          <w:rFonts w:eastAsia="Times New Roman" w:cs="Times New Roman" w:ascii="Times New Roman" w:hAnsi="Times New Roman"/>
          <w:b/>
          <w:sz w:val="24"/>
          <w:szCs w:val="24"/>
        </w:rPr>
        <w:t>Podsumowanie:</w:t>
      </w:r>
      <w:r>
        <w:rPr>
          <w:rFonts w:eastAsia="Times New Roman" w:cs="Times New Roman" w:ascii="Times New Roman" w:hAnsi="Times New Roman"/>
          <w:sz w:val="24"/>
          <w:szCs w:val="24"/>
        </w:rPr>
        <w:t xml:space="preserve"> na obszarze LSR znaczny odsetek mieszkańców korzysta z pomocy społecznej. W analizowanych latach występował tutaj trend malejący, ale nadal odsetek na obszarze LGD CIW jest wyższy od średniej wojewódzkiej i krajowej. Dodatkowym problemem są: znaczny odsetek dzieci objętych zasiłkami rodzinnymi (ponad 40% we wszystkich gminach) oraz dynamicznie rosnące wydatki na pomoc społeczną.</w:t>
      </w:r>
    </w:p>
    <w:p>
      <w:pPr>
        <w:pStyle w:val="Normal"/>
        <w:spacing w:lineRule="auto" w:line="240" w:before="6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Dostęp do opieki i edukacji</w:t>
      </w:r>
    </w:p>
    <w:p>
      <w:pPr>
        <w:pStyle w:val="Normal"/>
        <w:suppressAutoHyphens w:val="true"/>
        <w:spacing w:lineRule="auto" w:line="240" w:before="60" w:after="0"/>
        <w:jc w:val="both"/>
        <w:rPr>
          <w:rFonts w:ascii="Times New Roman" w:hAnsi="Times New Roman" w:cs="Times New Roman"/>
          <w:sz w:val="24"/>
          <w:szCs w:val="24"/>
        </w:rPr>
      </w:pPr>
      <w:r>
        <w:rPr>
          <w:rFonts w:eastAsia="Times New Roman" w:cs="Times New Roman" w:ascii="Times New Roman" w:hAnsi="Times New Roman"/>
          <w:b/>
          <w:sz w:val="24"/>
          <w:szCs w:val="24"/>
        </w:rPr>
        <w:t>Na terenie LGD w okresie objętym analizą nie była dostępna oferta opieki nad dziećmi do 3 roku życia w formie żłobków. Również w przypadku opieki przedszkolnej, skala dostępności ośrodków przedszkolnych jest niższa od średniej wojewódzkiej i krajowej.</w:t>
      </w:r>
      <w:r>
        <w:rPr>
          <w:rFonts w:eastAsia="Times New Roman" w:cs="Times New Roman" w:ascii="Times New Roman" w:hAnsi="Times New Roman"/>
          <w:sz w:val="24"/>
          <w:szCs w:val="24"/>
        </w:rPr>
        <w:t xml:space="preserve"> W całym powiecie zmiany są jednak dynamiczne i pozytywne, przekraczając średnie wzrosty na poziomie województwa zachodniopomorskiego i całego kraju, w tym w gminie Radowo Małe zmiana wyniosła aż 43%. Wyjątkiem jest gmina Resko, gdzie wzrost odsetka dzieci objętych opieką przedszkolną wyniósł zaledwie 12,4% (zaledwie połowa średniej wojewódzkiej i krajowej).</w:t>
      </w:r>
    </w:p>
    <w:tbl>
      <w:tblPr>
        <w:tblW w:w="10350" w:type="dxa"/>
        <w:jc w:val="left"/>
        <w:tblInd w:w="-5" w:type="dxa"/>
        <w:tblLayout w:type="fixed"/>
        <w:tblCellMar>
          <w:top w:w="55" w:type="dxa"/>
          <w:left w:w="55" w:type="dxa"/>
          <w:bottom w:w="55" w:type="dxa"/>
          <w:right w:w="55" w:type="dxa"/>
        </w:tblCellMar>
      </w:tblPr>
      <w:tblGrid>
        <w:gridCol w:w="2547"/>
        <w:gridCol w:w="870"/>
        <w:gridCol w:w="871"/>
        <w:gridCol w:w="871"/>
        <w:gridCol w:w="870"/>
        <w:gridCol w:w="871"/>
        <w:gridCol w:w="871"/>
        <w:gridCol w:w="871"/>
        <w:gridCol w:w="1708"/>
      </w:tblGrid>
      <w:tr>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Gmina</w:t>
            </w:r>
          </w:p>
        </w:tc>
        <w:tc>
          <w:tcPr>
            <w:tcW w:w="6095" w:type="dxa"/>
            <w:gridSpan w:val="7"/>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Odsetek dzieci objętych opieką przedszkolną</w:t>
            </w:r>
          </w:p>
        </w:tc>
        <w:tc>
          <w:tcPr>
            <w:tcW w:w="17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Zmiana w latach 2007-2013</w:t>
            </w:r>
          </w:p>
        </w:tc>
      </w:tr>
      <w:tr>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rPr>
              <w:t>2007</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2009</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t>2013</w:t>
            </w:r>
          </w:p>
        </w:tc>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bCs/>
              </w:rPr>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Dobra</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39,3%</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21,8%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27,5%</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Łobez</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47,4%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61,9%</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65,0%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66,3%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58,5%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70,6%</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23,2%</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Radowo Małe</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20,1%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26,2%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23,3%</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54,2%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50,0%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63,3%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43,2%</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Resko</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48,5%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55,8%</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64,7%</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61,2%</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pPr>
            <w:r>
              <w:rPr>
                <w:rFonts w:cs="Times New Roman" w:ascii="Times New Roman" w:hAnsi="Times New Roman"/>
              </w:rPr>
              <w:t>12,4%</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rPr>
            </w:pPr>
            <w:r>
              <w:rPr>
                <w:rFonts w:cs="Times New Roman" w:ascii="Times New Roman" w:hAnsi="Times New Roman"/>
              </w:rPr>
              <w:t>Węgorzyno</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35,4%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41,8%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55,7%</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52,1%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56,5%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rPr>
            </w:pPr>
            <w:r>
              <w:rPr>
                <w:rFonts w:cs="Times New Roman" w:ascii="Times New Roman" w:hAnsi="Times New Roman"/>
              </w:rPr>
              <w:t>61,1%</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rPr>
              <w:t>25,7%</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cs="Times New Roman"/>
                <w:b/>
                <w:b/>
              </w:rPr>
            </w:pPr>
            <w:r>
              <w:rPr>
                <w:rFonts w:cs="Times New Roman" w:ascii="Times New Roman" w:hAnsi="Times New Roman"/>
                <w:b/>
              </w:rPr>
              <w:t>pow. łobeski</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46,4%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52,5%</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60,3%</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59,4%</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52,8%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64,2%</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rPr>
            </w:pPr>
            <w:r>
              <w:rPr>
                <w:rFonts w:cs="Times New Roman" w:ascii="Times New Roman" w:hAnsi="Times New Roman"/>
                <w:b/>
              </w:rPr>
              <w:t>23,9%</w:t>
            </w:r>
          </w:p>
        </w:tc>
      </w:tr>
      <w:tr>
        <w:trPr>
          <w:trHeight w:val="289"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rPr>
            </w:pPr>
            <w:r>
              <w:rPr>
                <w:rFonts w:eastAsia="Times New Roman" w:cs="Times New Roman" w:ascii="Times New Roman" w:hAnsi="Times New Roman"/>
                <w:b/>
                <w:bCs/>
              </w:rPr>
              <w:t>woj. zachodniopomorskie</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55,6%</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58,5%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63,9%</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65,2%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67,7%</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67,5%</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71,3%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bCs/>
              </w:rPr>
            </w:pPr>
            <w:r>
              <w:rPr>
                <w:rFonts w:eastAsia="Times New Roman" w:cs="Times New Roman" w:ascii="Times New Roman" w:hAnsi="Times New Roman"/>
                <w:b/>
              </w:rPr>
              <w:t>15,7%</w:t>
            </w:r>
          </w:p>
        </w:tc>
      </w:tr>
      <w:tr>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eastAsia="Times New Roman" w:cs="Times New Roman"/>
                <w:b/>
                <w:b/>
              </w:rPr>
            </w:pPr>
            <w:r>
              <w:rPr>
                <w:rFonts w:eastAsia="Times New Roman" w:cs="Times New Roman" w:ascii="Times New Roman" w:hAnsi="Times New Roman"/>
                <w:b/>
                <w:bCs/>
              </w:rPr>
              <w:t>Polska</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59,2%</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63,1%</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67,3%</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68,0%</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70,8%</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71,6%</w:t>
            </w:r>
          </w:p>
        </w:tc>
        <w:tc>
          <w:tcPr>
            <w:tcW w:w="87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eastAsia="Times New Roman" w:cs="Times New Roman"/>
                <w:b/>
                <w:b/>
              </w:rPr>
            </w:pPr>
            <w:r>
              <w:rPr>
                <w:rFonts w:eastAsia="Times New Roman" w:cs="Times New Roman" w:ascii="Times New Roman" w:hAnsi="Times New Roman"/>
                <w:b/>
              </w:rPr>
              <w:t>75,3%</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60" w:after="0"/>
              <w:jc w:val="center"/>
              <w:rPr>
                <w:rFonts w:ascii="Times New Roman" w:hAnsi="Times New Roman" w:cs="Times New Roman"/>
              </w:rPr>
            </w:pPr>
            <w:r>
              <w:rPr>
                <w:rFonts w:eastAsia="Times New Roman" w:cs="Times New Roman" w:ascii="Times New Roman" w:hAnsi="Times New Roman"/>
                <w:b/>
              </w:rPr>
              <w:t>16,1%</w:t>
            </w:r>
          </w:p>
        </w:tc>
      </w:tr>
    </w:tbl>
    <w:p>
      <w:pPr>
        <w:pStyle w:val="Normal"/>
        <w:rPr/>
      </w:pPr>
      <w:r>
        <w:rPr/>
        <w:t>Łączna liczba placówek edukacyjnych na obszarze LGD CIW wynosi 30, w tym 13 szkół podstawowych, 7 szkół gimnazjalnych oraz 10 szkół ponadgimnazjalnych i policealnych. Liczba szkół podstawowych i gimnazjalnych jest rozłożona równomiernie we wszystkich gminach, z kolei szkoły ponadgimnazjalne i policealne znajdują się przede wszystkim na terenie gminy Łobez (7 placówek), nie są zaś dostępne w gminach Dobra i Węgorzyno (brak obiektów).</w:t>
      </w:r>
    </w:p>
    <w:tbl>
      <w:tblPr>
        <w:tblW w:w="10347" w:type="dxa"/>
        <w:jc w:val="center"/>
        <w:tblInd w:w="0" w:type="dxa"/>
        <w:tblLayout w:type="fixed"/>
        <w:tblCellMar>
          <w:top w:w="55" w:type="dxa"/>
          <w:left w:w="55" w:type="dxa"/>
          <w:bottom w:w="55" w:type="dxa"/>
          <w:right w:w="55" w:type="dxa"/>
        </w:tblCellMar>
      </w:tblPr>
      <w:tblGrid>
        <w:gridCol w:w="1433"/>
        <w:gridCol w:w="1291"/>
        <w:gridCol w:w="1289"/>
        <w:gridCol w:w="1290"/>
        <w:gridCol w:w="1318"/>
        <w:gridCol w:w="1313"/>
        <w:gridCol w:w="2413"/>
      </w:tblGrid>
      <w:tr>
        <w:trPr/>
        <w:tc>
          <w:tcPr>
            <w:tcW w:w="14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Gmina</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Szkoły podstawowe </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Szkoły gimnazjalne</w:t>
            </w:r>
          </w:p>
        </w:tc>
        <w:tc>
          <w:tcPr>
            <w:tcW w:w="3726"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sz w:val="24"/>
                <w:szCs w:val="24"/>
              </w:rPr>
              <w:t>Szkoły ponadgimnazjalne i policealne</w:t>
            </w:r>
          </w:p>
        </w:tc>
      </w:tr>
      <w:tr>
        <w:trPr/>
        <w:tc>
          <w:tcPr>
            <w:tcW w:w="14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sz w:val="24"/>
                <w:szCs w:val="24"/>
              </w:rPr>
              <w:t>Obiekty</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uczniowie</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obiekty</w:t>
            </w:r>
          </w:p>
        </w:tc>
        <w:tc>
          <w:tcPr>
            <w:tcW w:w="1318"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6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uczniowie</w:t>
            </w:r>
          </w:p>
        </w:tc>
        <w:tc>
          <w:tcPr>
            <w:tcW w:w="1313"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60" w:after="0"/>
              <w:jc w:val="center"/>
              <w:rPr/>
            </w:pPr>
            <w:r>
              <w:rPr>
                <w:rFonts w:eastAsia="Times New Roman" w:cs="Times New Roman" w:ascii="Times New Roman" w:hAnsi="Times New Roman"/>
                <w:b/>
                <w:bCs/>
                <w:sz w:val="24"/>
                <w:szCs w:val="24"/>
              </w:rPr>
              <w:t>Obiekty</w:t>
            </w:r>
          </w:p>
        </w:tc>
        <w:tc>
          <w:tcPr>
            <w:tcW w:w="2413"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60" w:after="0"/>
              <w:jc w:val="center"/>
              <w:rPr>
                <w:rFonts w:ascii="Times New Roman" w:hAnsi="Times New Roman" w:cs="Times New Roman"/>
                <w:sz w:val="24"/>
                <w:szCs w:val="24"/>
              </w:rPr>
            </w:pPr>
            <w:r>
              <w:rPr>
                <w:rFonts w:eastAsia="Times New Roman" w:cs="Times New Roman" w:ascii="Times New Roman" w:hAnsi="Times New Roman"/>
                <w:b/>
                <w:bCs/>
                <w:sz w:val="24"/>
                <w:szCs w:val="24"/>
              </w:rPr>
              <w:t>Uczniowie</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Dobra</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257</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118</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Łobez</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741</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471</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542</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Radowo Małe</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250</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143</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Resko</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464</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266</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108</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t>Węgorzyno</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408</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1</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204</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sz w:val="24"/>
                <w:szCs w:val="24"/>
              </w:rPr>
              <w:t>0</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eastAsia="Times New Roman" w:cs="Times New Roman"/>
                <w:b/>
                <w:b/>
                <w:bCs/>
                <w:sz w:val="24"/>
                <w:szCs w:val="24"/>
              </w:rPr>
            </w:pPr>
            <w:r>
              <w:rPr>
                <w:rFonts w:cs="Times New Roman" w:ascii="Times New Roman" w:hAnsi="Times New Roman"/>
                <w:sz w:val="24"/>
                <w:szCs w:val="24"/>
              </w:rPr>
              <w:t>0</w:t>
            </w:r>
          </w:p>
        </w:tc>
      </w:tr>
      <w:tr>
        <w:trPr/>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60" w:after="0"/>
              <w:jc w:val="right"/>
              <w:rPr>
                <w:rFonts w:ascii="Times New Roman" w:hAnsi="Times New Roman" w:cs="Times New Roman"/>
                <w:b/>
                <w:b/>
                <w:sz w:val="24"/>
                <w:szCs w:val="24"/>
              </w:rPr>
            </w:pPr>
            <w:r>
              <w:rPr>
                <w:rFonts w:eastAsia="Times New Roman" w:cs="Times New Roman" w:ascii="Times New Roman" w:hAnsi="Times New Roman"/>
                <w:b/>
                <w:bCs/>
                <w:sz w:val="24"/>
                <w:szCs w:val="24"/>
              </w:rPr>
              <w:t>RAZEM</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13</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2.120</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7</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1.202</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10</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657</w:t>
            </w:r>
          </w:p>
        </w:tc>
      </w:tr>
    </w:tbl>
    <w:p>
      <w:pPr>
        <w:pStyle w:val="Normal"/>
        <w:suppressAutoHyphens w:val="true"/>
        <w:spacing w:lineRule="auto" w:line="240" w:before="60" w:after="0"/>
        <w:jc w:val="both"/>
        <w:rPr>
          <w:rFonts w:ascii="Times New Roman" w:hAnsi="Times New Roman" w:eastAsia="Times New Roman" w:cs="Times New Roman"/>
          <w:sz w:val="24"/>
          <w:szCs w:val="24"/>
        </w:rPr>
      </w:pPr>
      <w:r>
        <w:rPr>
          <w:rFonts w:cs="Times New Roman" w:ascii="Times New Roman" w:hAnsi="Times New Roman"/>
          <w:b/>
          <w:bCs/>
          <w:iCs/>
          <w:sz w:val="24"/>
          <w:szCs w:val="24"/>
        </w:rPr>
        <w:t>Podsumowanie</w:t>
      </w:r>
      <w:r>
        <w:rPr>
          <w:rFonts w:cs="Times New Roman" w:ascii="Times New Roman" w:hAnsi="Times New Roman"/>
          <w:iCs/>
          <w:sz w:val="24"/>
          <w:szCs w:val="24"/>
        </w:rPr>
        <w:t xml:space="preserve">: Ważnym obszarem interwencji jest zwiększenie dostępu do opieki nad dziećmi do lat trzech oraz podtrzymanie dynamicznego wzrostu odsetka dzieci objętych opieką przedszkolną. </w:t>
      </w:r>
    </w:p>
    <w:p>
      <w:pPr>
        <w:pStyle w:val="Normal"/>
        <w:suppressAutoHyphens w:val="true"/>
        <w:spacing w:lineRule="auto" w:line="240" w:before="60" w:after="0"/>
        <w:rPr>
          <w:rFonts w:ascii="Times New Roman" w:hAnsi="Times New Roman" w:cs="Times New Roman"/>
          <w:sz w:val="24"/>
          <w:szCs w:val="24"/>
        </w:rPr>
      </w:pPr>
      <w:r>
        <w:rPr>
          <w:rFonts w:eastAsia="Times New Roman" w:cs="Times New Roman" w:ascii="Times New Roman" w:hAnsi="Times New Roman"/>
          <w:b/>
          <w:bCs/>
          <w:sz w:val="24"/>
          <w:szCs w:val="24"/>
        </w:rPr>
        <w:t>Infrastruktura kulturalna</w:t>
      </w:r>
    </w:p>
    <w:p>
      <w:pPr>
        <w:pStyle w:val="Normal"/>
        <w:suppressAutoHyphens w:val="true"/>
        <w:spacing w:lineRule="auto" w:line="240" w:before="60" w:after="0"/>
        <w:jc w:val="both"/>
        <w:rPr/>
      </w:pPr>
      <w:r>
        <w:rPr/>
        <w:t>Za centrum życia kulturalnego obszaru LGD CIW można uznać gminę Łobez, na terenie której działa łącznie 18 ośrodków kultury, klubów, świetlic i kół. Imprez i wydarzenia kulturalne nie są realizowane w gminach Dobra i Węgorzyno, gdzie działają jedynie biblioteki bądź ich filie, nie ma dodatkowych kół, klubów czy zarejestrowanych zespołów artystycznych. W pozostałych dwóch gminach (Resko i Radowo Małe) działają pojedyncze ośrodki.</w:t>
      </w:r>
    </w:p>
    <w:tbl>
      <w:tblPr>
        <w:tblW w:w="10394" w:type="dxa"/>
        <w:jc w:val="center"/>
        <w:tblInd w:w="0" w:type="dxa"/>
        <w:tblLayout w:type="fixed"/>
        <w:tblCellMar>
          <w:top w:w="55" w:type="dxa"/>
          <w:left w:w="55" w:type="dxa"/>
          <w:bottom w:w="55" w:type="dxa"/>
          <w:right w:w="55" w:type="dxa"/>
        </w:tblCellMar>
      </w:tblPr>
      <w:tblGrid>
        <w:gridCol w:w="1417"/>
        <w:gridCol w:w="2406"/>
        <w:gridCol w:w="1563"/>
        <w:gridCol w:w="1053"/>
        <w:gridCol w:w="1318"/>
        <w:gridCol w:w="1598"/>
        <w:gridCol w:w="1039"/>
      </w:tblGrid>
      <w:tr>
        <w:trPr>
          <w:trHeight w:val="112" w:hRule="atLeast"/>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Gmina</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Domy, ośrodki kultury, kluby świetlice</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Biblioteki razem z filiami</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Liczba imprez</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Liczba uczestników imprez</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Liczba zespołów artystycznych</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suppressAutoHyphens w:val="true"/>
              <w:snapToGrid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Liczba kół, klubów</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Dobra</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Łobez</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569</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50.214</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Radowo Małe</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3.700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Resko</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6.640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Węgorzyno</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b/>
                <w:b/>
                <w:bCs/>
                <w:sz w:val="24"/>
                <w:szCs w:val="24"/>
              </w:rPr>
            </w:pPr>
            <w:r>
              <w:rPr>
                <w:rFonts w:cs="Times New Roman" w:ascii="Times New Roman" w:hAnsi="Times New Roman"/>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snapToGrid w:val="false"/>
              <w:spacing w:lineRule="auto" w:line="240" w:before="0" w:after="0"/>
              <w:jc w:val="right"/>
              <w:rPr>
                <w:rFonts w:ascii="Times New Roman" w:hAnsi="Times New Roman" w:eastAsia="Times New Roman" w:cs="Times New Roman"/>
                <w:b/>
                <w:b/>
                <w:sz w:val="24"/>
                <w:szCs w:val="24"/>
              </w:rPr>
            </w:pPr>
            <w:r>
              <w:rPr>
                <w:rFonts w:eastAsia="Times New Roman" w:cs="Times New Roman" w:ascii="Times New Roman" w:hAnsi="Times New Roman"/>
                <w:b/>
                <w:bCs/>
                <w:sz w:val="24"/>
                <w:szCs w:val="24"/>
              </w:rPr>
              <w:t>RAZEM</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18</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sz w:val="24"/>
                <w:szCs w:val="24"/>
              </w:rPr>
              <w:t>9</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620</w:t>
            </w:r>
          </w:p>
        </w:tc>
        <w:tc>
          <w:tcPr>
            <w:tcW w:w="13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60.554</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44</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44</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Poza danymi statystycznymi dla oceny sytuacji społeczno-gospodarczej obszaru LGD wykorzystano </w:t>
        <w:br/>
        <w:t xml:space="preserve">też </w:t>
      </w:r>
      <w:r>
        <w:rPr>
          <w:rFonts w:cs="Times New Roman" w:ascii="Times New Roman" w:hAnsi="Times New Roman"/>
          <w:b/>
          <w:sz w:val="24"/>
          <w:szCs w:val="24"/>
        </w:rPr>
        <w:t>wyniki badania ankietowego</w:t>
      </w:r>
      <w:r>
        <w:rPr>
          <w:rFonts w:cs="Times New Roman" w:ascii="Times New Roman" w:hAnsi="Times New Roman"/>
          <w:sz w:val="24"/>
          <w:szCs w:val="24"/>
        </w:rPr>
        <w:t>, przeprowadzonego w 2014 r. na obszarze LGD CIW (134 ankiety).</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Główne wnioski z badania:</w:t>
      </w:r>
    </w:p>
    <w:p>
      <w:pPr>
        <w:pStyle w:val="Normal"/>
        <w:spacing w:lineRule="auto" w:line="240" w:before="60" w:after="0"/>
        <w:jc w:val="both"/>
        <w:rPr/>
      </w:pPr>
      <w:r>
        <w:rPr>
          <w:rFonts w:cs="Times New Roman" w:ascii="Times New Roman" w:hAnsi="Times New Roman"/>
          <w:b/>
          <w:sz w:val="24"/>
          <w:szCs w:val="24"/>
        </w:rPr>
        <w:t xml:space="preserve">1. Mieszkańcy wykazują wysoki stopień optymizmu – wysoko oceniają zadowolenie z zamieszkania </w:t>
        <w:br/>
        <w:t>na obszarze LGD i zauważają wyraźne pozytywne zmiany w ostatnich latach.</w:t>
      </w:r>
    </w:p>
    <w:p>
      <w:pPr>
        <w:pStyle w:val="Normal"/>
        <w:spacing w:lineRule="auto" w:line="240" w:before="60" w:after="0"/>
        <w:jc w:val="both"/>
        <w:rPr>
          <w:rFonts w:ascii="Times New Roman" w:hAnsi="Times New Roman" w:cs="Times New Roman"/>
        </w:rPr>
      </w:pPr>
      <w:r/>
      <w:r>
        <w:rPr>
          <w:rFonts w:cs="Times New Roman" w:ascii="Times New Roman" w:hAnsi="Times New Roman"/>
        </w:rPr>
        <w:drawing>
          <wp:anchor behindDoc="0" distT="0" distB="0" distL="0" distR="0" simplePos="0" locked="0" layoutInCell="0" allowOverlap="1" relativeHeight="14">
            <wp:simplePos x="0" y="0"/>
            <wp:positionH relativeFrom="column">
              <wp:posOffset>728345</wp:posOffset>
            </wp:positionH>
            <wp:positionV relativeFrom="paragraph">
              <wp:posOffset>292100</wp:posOffset>
            </wp:positionV>
            <wp:extent cx="4799965" cy="2766060"/>
            <wp:effectExtent l="0" t="0" r="0" b="0"/>
            <wp:wrapTopAndBottom/>
            <wp:docPr id="12" name="Obiek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t>Ocena satysfakcji z zamieszkania na terenie objętym badaniem</w:t>
      </w:r>
    </w:p>
    <w:p>
      <w:pPr>
        <w:pStyle w:val="Normal"/>
        <w:spacing w:lineRule="auto" w:line="240" w:before="60" w:after="0"/>
        <w:jc w:val="both"/>
        <w:rPr>
          <w:rFonts w:ascii="Times New Roman" w:hAnsi="Times New Roman" w:cs="Times New Roman"/>
        </w:rPr>
      </w:pPr>
      <w:r>
        <w:rPr>
          <w:rFonts w:cs="Times New Roman" w:ascii="Times New Roman" w:hAnsi="Times New Roman"/>
          <w:sz w:val="24"/>
          <w:szCs w:val="24"/>
        </w:rPr>
        <w:t>Tylko 8% mieszkańców jest niezadowolonych, bądź bardzo niezadowolonych z życia na terenie objętym badaniem. Jednocześnie 18% respondentów wskazało na kategorię „bardzo zadowolony”. Wspiera ich też liczna grupa „zadowolonych” (34% odpowiedzi) i „raczej zadowolonych” (kolejne 31% wskazań). Można więc uznać, że aż  83% badanych jest zadowolonych z życia na  terenie swojej małej ojczyzny.</w:t>
      </w:r>
    </w:p>
    <w:p>
      <w:pPr>
        <w:pStyle w:val="Normal"/>
        <w:spacing w:lineRule="auto" w:line="240" w:before="60" w:after="0"/>
        <w:jc w:val="both"/>
        <w:rPr>
          <w:rFonts w:ascii="Times New Roman" w:hAnsi="Times New Roman" w:cs="Times New Roman"/>
          <w:b/>
          <w:b/>
          <w:sz w:val="24"/>
          <w:szCs w:val="24"/>
        </w:rPr>
      </w:pPr>
      <w:r>
        <w:rPr>
          <w:rFonts w:cs="Times New Roman" w:ascii="Times New Roman" w:hAnsi="Times New Roman"/>
          <w:b/>
          <w:sz w:val="24"/>
          <w:szCs w:val="24"/>
        </w:rPr>
        <w:t xml:space="preserve">2. Główne obszary problemowe na terenie LGD to rynek pracy, zarobki mieszkańców i ochrona zdrowia. </w:t>
      </w:r>
    </w:p>
    <w:p>
      <w:pPr>
        <w:pStyle w:val="Normal"/>
        <w:spacing w:lineRule="auto" w:line="240" w:before="60" w:after="0"/>
        <w:jc w:val="both"/>
        <w:rPr/>
      </w:pPr>
      <w:r>
        <w:rPr>
          <w:rFonts w:cs="Times New Roman" w:ascii="Times New Roman" w:hAnsi="Times New Roman"/>
          <w:sz w:val="24"/>
          <w:szCs w:val="24"/>
        </w:rPr>
        <w:t xml:space="preserve">Ocena rynku pracy na obszarze objętym badaniem: przytłaczająca większość respondentów (76%) wskazała na swoje niezadowolenie z tego obszaru życia, w dodatku aż 31% badanych oceniło tę kategorią przy użyciu najniższej, skrajnej oceny. Dodatkowo żaden respondent nie wybrał w tym pytaniu odpowiedzi „jestem bardzo zadowolony”, a zaledwie 5% badanej populacji jest zadowolone ze swojej sytuacji ekonomicznej. Tak skrajnie niski wynik wymaga szczególnej uwagi ze strony LGD – wśród respondentów przeważały bowiem osoby pracujące, które powinny oceniać ten obszar lepiej niż mieszkańcy pozbawieni zatrudnienia. </w:t>
      </w:r>
    </w:p>
    <w:p>
      <w:pPr>
        <w:pStyle w:val="Normal"/>
        <w:spacing w:lineRule="auto" w:line="240" w:before="60" w:after="0"/>
        <w:jc w:val="both"/>
        <w:rPr/>
      </w:pPr>
      <w:r>
        <w:rPr>
          <w:rFonts w:cs="Times New Roman" w:ascii="Times New Roman" w:hAnsi="Times New Roman"/>
          <w:sz w:val="24"/>
          <w:szCs w:val="24"/>
        </w:rPr>
        <w:t xml:space="preserve">Zadowolenie mieszkańców w odniesieniu do zarobków: aż 54% respondentów jest wyraźnie niezadowolonych. </w:t>
        <w:br/>
        <w:t>W przeciwieństwie do nich osoby mocno optymistyczne w swoich ocenach stanowią jedynie 7% badanych. Co istotne najczęściej wskazywaną przez badanych oceną było „jestem bardzo niezadowolony” (aż 32% wskazań). Zła sytuacja na rynku pracy i niskie zarobki określają podstawowe potrzeby mieszkańców. LGD powinna najpilniej podjąć działania w sferze rynku pracy.</w:t>
      </w:r>
    </w:p>
    <w:p>
      <w:pPr>
        <w:sectPr>
          <w:headerReference w:type="default" r:id="rId12"/>
          <w:footerReference w:type="default" r:id="rId13"/>
          <w:footnotePr>
            <w:numFmt w:val="decimal"/>
          </w:footnotePr>
          <w:type w:val="nextPage"/>
          <w:pgSz w:w="11906" w:h="16838"/>
          <w:pgMar w:left="851" w:right="567" w:gutter="0" w:header="0" w:top="567" w:footer="0" w:bottom="567"/>
          <w:pgNumType w:fmt="decimal"/>
          <w:formProt w:val="false"/>
          <w:textDirection w:val="lrTb"/>
          <w:docGrid w:type="default" w:linePitch="360" w:charSpace="0"/>
        </w:sectPr>
        <w:pStyle w:val="Normal"/>
        <w:spacing w:lineRule="auto" w:line="240" w:before="60" w:after="0"/>
        <w:jc w:val="both"/>
        <w:rPr/>
      </w:pPr>
      <w:r>
        <w:rPr>
          <w:rFonts w:cs="Times New Roman" w:ascii="Times New Roman" w:hAnsi="Times New Roman"/>
          <w:sz w:val="24"/>
          <w:szCs w:val="24"/>
        </w:rPr>
        <w:t>Zadowolenie mieszkańców w odniesieniu do ochrony zdrowia: służba zdrowia w badaniu nie wypadła dobrze. Tylko jeden badany wskazał odpowiedź „jestem bardzo zadowolony”, 11% wystawiło ocenę „zadowolony”, a 31% - „raczej zadowolony”. Tymczasem aż 19% respondentów wskazało, że są bardzo niezadowoleni z funkcjonowania ochrony zdrowia, kolejne 21% badanych użyło do swojej oceny kategorii „2”. Łącznie osoby wyraźnie niezadowolone stanowiły aż 40% badanych, podczas gdy wyraźnie zadowolonych było zaledwie 12%.</w:t>
      </w:r>
    </w:p>
    <w:p>
      <w:pPr>
        <w:pStyle w:val="Normal"/>
        <w:spacing w:lineRule="auto" w:line="276"/>
        <w:jc w:val="both"/>
        <w:rPr>
          <w:rFonts w:ascii="Arial" w:hAnsi="Arial" w:cs="Arial"/>
          <w:b/>
          <w:b/>
          <w:sz w:val="20"/>
          <w:szCs w:val="20"/>
        </w:rPr>
      </w:pPr>
      <w:r/>
      <w:r>
        <w:rPr>
          <w:rFonts w:cs="Arial" w:ascii="Arial" w:hAnsi="Arial"/>
          <w:b/>
          <w:sz w:val="20"/>
          <w:szCs w:val="20"/>
        </w:rPr>
        <w:drawing>
          <wp:anchor behindDoc="0" distT="0" distB="0" distL="0" distR="0" simplePos="0" locked="0" layoutInCell="0" allowOverlap="1" relativeHeight="15">
            <wp:simplePos x="0" y="0"/>
            <wp:positionH relativeFrom="column">
              <wp:posOffset>-121920</wp:posOffset>
            </wp:positionH>
            <wp:positionV relativeFrom="paragraph">
              <wp:posOffset>266700</wp:posOffset>
            </wp:positionV>
            <wp:extent cx="9547225" cy="5507990"/>
            <wp:effectExtent l="0" t="0" r="0" b="0"/>
            <wp:wrapTopAndBottom/>
            <wp:docPr id="13" name="Obiek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t>Wykres: Zadowolenie w poszczególnych obszarach funkcjonowania badanych społeczności</w:t>
      </w:r>
    </w:p>
    <w:p>
      <w:pPr>
        <w:sectPr>
          <w:headerReference w:type="default" r:id="rId15"/>
          <w:footerReference w:type="default" r:id="rId16"/>
          <w:footnotePr>
            <w:numFmt w:val="decimal"/>
          </w:footnotePr>
          <w:type w:val="nextPage"/>
          <w:pgSz w:orient="landscape" w:w="16838" w:h="11906"/>
          <w:pgMar w:left="567" w:right="567" w:gutter="0" w:header="0" w:top="851" w:footer="0" w:bottom="567"/>
          <w:pgNumType w:fmt="decimal"/>
          <w:formProt w:val="false"/>
          <w:textDirection w:val="lrTb"/>
          <w:docGrid w:type="default" w:linePitch="360" w:charSpace="0"/>
        </w:sectPr>
        <w:pStyle w:val="Normal"/>
        <w:spacing w:lineRule="auto" w:line="276"/>
        <w:rPr>
          <w:rFonts w:ascii="Times New Roman" w:hAnsi="Times New Roman" w:cs="Times New Roman"/>
        </w:rPr>
      </w:pPr>
      <w:r>
        <w:rPr>
          <w:rFonts w:cs="Arial" w:ascii="Arial" w:hAnsi="Arial"/>
          <w:i/>
          <w:iCs/>
          <w:sz w:val="20"/>
          <w:szCs w:val="20"/>
        </w:rPr>
        <w:t>Źródło: badanie własne (n=127-134).</w:t>
      </w:r>
    </w:p>
    <w:p>
      <w:pPr>
        <w:pStyle w:val="Normal"/>
        <w:spacing w:lineRule="auto" w:line="240" w:before="60" w:after="0"/>
        <w:jc w:val="both"/>
        <w:rPr/>
      </w:pPr>
      <w:r>
        <w:rPr>
          <w:rFonts w:cs="Times New Roman" w:ascii="Times New Roman" w:hAnsi="Times New Roman"/>
          <w:sz w:val="24"/>
          <w:szCs w:val="24"/>
        </w:rPr>
        <w:t>3. Główne rodzaje inicjatyw jakich oczekują mieszkańcy to (kolejno): tworzenie nowych miejsc pracy; rozwój ścieżek rowerowych; inwestycje w infrastrukturę drogową; inicjatywy dla dzieci i młodzieży; organizacja imprez, festynów; poprawa bazy edukacyjnej; budowa i modernizacja placów zabaw; wsparcie lokalnej przedsiębiorczości, inwestycje w lokalne przedsiębiorstwa; rozwój sieci szlaków pieszych/nordic walking; poprawa estetyki miejsc publicznych; aktywizacja istniejących świetlic wiejskich; promocja turystyczna obszaru; organizacja szkoleń, warsztatów; działalność kulturalna i rozwój edukacji przedszkolnej.</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4. Za grupy, które należy potraktować w LSR priorytetowo wskazywano najczęściej: młodzież, bezrobotnych, dzieci, kobiety i osoby niepełnosprawne. Co czwarty badany wskazał, że bliskie mu osoby młode planują opuścić obszar LGD w najbliższych latach., Za jeden z kluczowych elementów rozwoju obszaru uznano stworzenie na nim warunków sprzyjających do pozostawania osób młodych, podejmowania pracy i zakładania rodzin na terenie LGD.</w:t>
      </w:r>
    </w:p>
    <w:p>
      <w:pPr>
        <w:pStyle w:val="Normal"/>
        <w:spacing w:lineRule="auto" w:line="240" w:before="60" w:after="0"/>
        <w:rPr/>
      </w:pPr>
      <w:r>
        <w:rPr>
          <w:rFonts w:cs="Times New Roman" w:ascii="Times New Roman" w:hAnsi="Times New Roman"/>
          <w:b/>
          <w:sz w:val="24"/>
          <w:szCs w:val="24"/>
        </w:rPr>
        <w:t>Wnioski z diagnozy obszaru:</w:t>
      </w:r>
    </w:p>
    <w:p>
      <w:pPr>
        <w:pStyle w:val="Normal"/>
        <w:spacing w:lineRule="auto" w:line="240" w:before="60" w:after="0"/>
        <w:jc w:val="both"/>
        <w:rPr/>
      </w:pPr>
      <w:r>
        <w:rPr>
          <w:rFonts w:cs="Times New Roman" w:ascii="Times New Roman" w:hAnsi="Times New Roman"/>
          <w:sz w:val="24"/>
          <w:szCs w:val="24"/>
        </w:rPr>
        <w:t>Diagnoza obszaru przeprowadzona przez LGD objęła szereg problemów i zjawisk, spośród których powyżej przedstawiono najważniejsze obszary, w których działania LGD mogą wywołać zmianę (rynek pracy, turystyka, infrastruktura, aktywność społeczna, wykluczenie społeczne).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1. Główne problemy: niski poziom rozwoju przedsiębiorczości i aktywności zawodowej, wysoka stopa bezrobocia (szczególnie wśród kobiet), odpływ mieszkańców, niskie zarobki mieszkańców, duży odsetek osób korzystających z pomocy społecznej, duża liczba osób zagrożonych wykluczeniem społecznym, niewystarczające wykorzystanie potencjału turystycznego, liczne braki w infrastrukturze publicznej (turystycznej, kulturalnej, sportowej, rekreacyjnej, społecznej, drogowej), niewystarczający poziom aktywności i integracji mieszkańców,.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2. Główne potrzeby: wsparcie tworzenia nowych miejsc pracy i zwiększania zarobków mieszkańców, poprawa stanu infrastruktury publicznej, rozbudowa i poprawa atrakcyjności oferty spędzania czasu wolnego (w szczególności dla dzieci, młodzieży i seniorów), zwiększenie kompetencji i umiejętności mieszkańców obszaru, poprawa sytuacji osób wykluczonych (bezrobotnych, ubogich, niepełnosprawnych itd.), zwiększenie nakładów na promocję obszaru, wzmacnianie tożsamości lokalnej i silniejsza integracja społeczności.</w:t>
      </w:r>
    </w:p>
    <w:p>
      <w:pPr>
        <w:pStyle w:val="Normal"/>
        <w:spacing w:lineRule="auto" w:line="240" w:before="60" w:after="0"/>
        <w:jc w:val="both"/>
        <w:rPr/>
      </w:pPr>
      <w:r>
        <w:rPr>
          <w:rFonts w:cs="Times New Roman" w:ascii="Times New Roman" w:hAnsi="Times New Roman"/>
          <w:sz w:val="24"/>
          <w:szCs w:val="24"/>
        </w:rPr>
        <w:t>3. Najważniejsze zasoby: walory przyrodnicze, atrakcyjny krajobraz w tym sieć rzek i jezior, liczne i zróżnicowane szlaki, zabytki i atrakcje, optymizm i chęć mieszkańców do działania na rzecz rozwoju obszaru.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4. Potencjał obszaru: dynamiczny rozwój funkcji turystycznych i rekreacyjnych, rozwój przedsiębiorczości i wzrost zainteresowania inwestorów, szeroka aktywizacja społeczno-zawodowa mieszkańców z wykorzystaniem licznych podmiotów trzeciego sektora.</w:t>
      </w:r>
    </w:p>
    <w:p>
      <w:pPr>
        <w:pStyle w:val="Normal"/>
        <w:spacing w:lineRule="auto" w:line="240" w:before="60" w:after="0"/>
        <w:jc w:val="both"/>
        <w:rPr/>
      </w:pPr>
      <w:r>
        <w:rPr>
          <w:rFonts w:cs="Times New Roman" w:ascii="Times New Roman" w:hAnsi="Times New Roman"/>
          <w:b/>
          <w:sz w:val="24"/>
          <w:szCs w:val="24"/>
        </w:rPr>
        <w:t>W oparciu o przeprowadzoną diagnozę LGD CIW wybrała następujące główne obszary interwencji</w:t>
      </w:r>
      <w:r>
        <w:rPr>
          <w:rFonts w:cs="Times New Roman" w:ascii="Times New Roman" w:hAnsi="Times New Roman"/>
          <w:sz w:val="24"/>
          <w:szCs w:val="24"/>
        </w:rPr>
        <w:t>:</w:t>
      </w:r>
    </w:p>
    <w:p>
      <w:pPr>
        <w:pStyle w:val="Normal"/>
        <w:spacing w:lineRule="auto" w:line="240" w:before="60" w:after="0"/>
        <w:jc w:val="both"/>
        <w:rPr/>
      </w:pPr>
      <w:r>
        <w:rPr>
          <w:rFonts w:cs="Times New Roman" w:ascii="Times New Roman" w:hAnsi="Times New Roman"/>
          <w:sz w:val="24"/>
          <w:szCs w:val="24"/>
        </w:rPr>
        <w:t>1. Rozwój przedsiębiorczości i tworzenie nowych miejsc pracy – główna potrzeba wskazana przez mieszkańców obszaru, wynikająca także z danych statystycznych dotyczących skali bezrobocia.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2. Poprawa stanu infrastruktury – najczęstszy typ działań wskazywany przez mieszkańców w badaniu ankietowym, działanie jest niezbędne w kontekście pełnego wykorzystania lokalnych zasobów i rozwoju funkcji turystycznych obszaru.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3. Aktywizacja społeczno-zawodowa mieszkańców – jeden z ważniejszych postulatów wynikający z badania ankietowego, działania podejmowane w tym zakresie pozwolą w pełni osiągnąć zakładane rezultaty w pozostałych dwóch obszarach interwencji.</w:t>
      </w:r>
    </w:p>
    <w:p>
      <w:pPr>
        <w:pStyle w:val="Normal"/>
        <w:spacing w:lineRule="auto" w:line="240" w:before="60" w:after="0"/>
        <w:jc w:val="both"/>
        <w:rPr/>
      </w:pPr>
      <w:r>
        <w:rPr>
          <w:rFonts w:cs="Times New Roman" w:ascii="Times New Roman" w:hAnsi="Times New Roman"/>
          <w:b/>
          <w:sz w:val="24"/>
          <w:szCs w:val="24"/>
        </w:rPr>
        <w:t>Określono także główne grupy docelowe, szczególnie istotne dla wdrożenia LSR</w:t>
      </w:r>
      <w:r>
        <w:rPr>
          <w:rFonts w:cs="Times New Roman" w:ascii="Times New Roman" w:hAnsi="Times New Roman"/>
          <w:sz w:val="24"/>
          <w:szCs w:val="24"/>
        </w:rPr>
        <w:t xml:space="preserve">: </w:t>
      </w:r>
    </w:p>
    <w:p>
      <w:pPr>
        <w:pStyle w:val="Normal"/>
        <w:spacing w:lineRule="auto" w:line="240" w:before="60" w:after="0"/>
        <w:jc w:val="both"/>
        <w:rPr/>
      </w:pPr>
      <w:r>
        <w:rPr>
          <w:rFonts w:cs="Times New Roman" w:ascii="Times New Roman" w:hAnsi="Times New Roman"/>
          <w:sz w:val="24"/>
          <w:szCs w:val="24"/>
        </w:rPr>
        <w:t>1. Przedsiębiorcy – tworzą miejsca pracy.</w:t>
      </w:r>
    </w:p>
    <w:p>
      <w:pPr>
        <w:pStyle w:val="Normal"/>
        <w:spacing w:lineRule="auto" w:line="240" w:before="60" w:after="0"/>
        <w:jc w:val="both"/>
        <w:rPr/>
      </w:pPr>
      <w:r>
        <w:rPr>
          <w:rFonts w:cs="Times New Roman" w:ascii="Times New Roman" w:hAnsi="Times New Roman"/>
          <w:sz w:val="24"/>
          <w:szCs w:val="24"/>
        </w:rPr>
        <w:t>2. Instytucje publiczne – realizują projekty w zakresie ogólnodostępnej infrastruktury.</w:t>
      </w:r>
    </w:p>
    <w:p>
      <w:pPr>
        <w:pStyle w:val="Normal"/>
        <w:spacing w:lineRule="auto" w:line="240" w:before="60" w:after="0"/>
        <w:jc w:val="both"/>
        <w:rPr/>
      </w:pPr>
      <w:r>
        <w:rPr>
          <w:rFonts w:cs="Times New Roman" w:ascii="Times New Roman" w:hAnsi="Times New Roman"/>
          <w:sz w:val="24"/>
          <w:szCs w:val="24"/>
        </w:rPr>
        <w:t>3. Organizacje pozarządowe i lokalni liderzy – aktywizują mieszkańców, wykonują część zadań instytucji publicznych.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4. Organizacje branżowe – w szczególności zrzeszające przedsiębiorców i działających na rzecz rozwoju turystyki i rekreacji na obszarze LGD (LOT).</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5. Osoby młode (do 35 roku życia) – grupa defaworyzowana, która ma ograniczone możliwości na rynku pracy ze względu na niewystarczające kwalifikacje i doświadczenie, stanowią znaczny odsetek osób bezrobotnych, często opuszczają obszar LGD, ponadto mieszkańcy w badaniu ankietowym wskazali, że należy szczególne działania skierować do tej grupy, aby powstrzymać odpływ mieszkańców z obszaru. W trakcie procesu konsultacji społecznych wielokrotnie zwracano także uwagę, że oferta różnego rodzaju zajęć, spotkań dla tej grupy jest bardzo ograniczona.</w:t>
      </w:r>
    </w:p>
    <w:p>
      <w:pPr>
        <w:pStyle w:val="Normal"/>
        <w:spacing w:lineRule="auto" w:line="240" w:before="60" w:after="0"/>
        <w:jc w:val="both"/>
        <w:rPr/>
      </w:pPr>
      <w:r>
        <w:rPr>
          <w:rFonts w:cs="Times New Roman" w:ascii="Times New Roman" w:hAnsi="Times New Roman"/>
          <w:sz w:val="24"/>
          <w:szCs w:val="24"/>
        </w:rPr>
        <w:t>6. Osoby starsze (po 50 roku życia) - grupa defaworyzowana, która ma ograniczone możliwości na rynku pracy ze względu na nieaktualne kwalifikacje, zły stan zdrowia, stanowią znaczny odsetek osób bezrobotnych. Ponadto prognozy demograficzne wskazują na dynamiczny przyrost liczbowy tej grupy w najbliższych latach. W trakcie procesu konsultacji społecznych wielokrotnie zwracano także uwagę, że oferta różnego rodzaju zajęć, spotkań dla tej grupy jest bardzo ograniczona.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7. Kobiety – grupa defaworyzowana, stanowią szczególnie liczną grupę osób bezrobotnych, a mieszkańcy uznali w badaniu ankietowym, że należy jej zapewnić szczególne wsparcie.</w:t>
      </w:r>
    </w:p>
    <w:p>
      <w:pPr>
        <w:pStyle w:val="Normal"/>
        <w:spacing w:lineRule="auto" w:line="240" w:before="60" w:after="0"/>
        <w:jc w:val="both"/>
        <w:rPr/>
      </w:pPr>
      <w:r>
        <w:rPr>
          <w:rFonts w:cs="Times New Roman" w:ascii="Times New Roman" w:hAnsi="Times New Roman"/>
          <w:sz w:val="24"/>
          <w:szCs w:val="24"/>
        </w:rPr>
        <w:t>8. Osoby niepełnosprawne – grupa defaworyzowana, której znacznie trudniej znaleźć i utrzymać zatrudnienie w wyniku różnego rodzaju problemów zdrowotnych. Ponadto przez liczne bariery architektoniczne nie mogą one w pełni korzystać z infrastruktury dostępnej na terenie LGD, często ze względu na swoją niepełnosprawność są także wykluczane społecznie.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W diagnozie uwzględniono uwagi zgromadzone w procesie konsultacji społecznych:</w:t>
      </w:r>
      <w:r>
        <w:rPr>
          <w:rFonts w:cs="Times New Roman" w:ascii="Times New Roman" w:hAnsi="Times New Roman"/>
          <w:sz w:val="24"/>
          <w:szCs w:val="24"/>
        </w:rPr>
        <w:t xml:space="preserve"> uwzględniono informację na temat wysokiego poziomu zalesienia oraz roli walorów przyrodniczych nieobjętych bezpośrednio ochroną prawną jako zasobu obszaru. Dodatkowo, podczas omawiania dostępu do połączeń komunikacyjnych wskazano na dostęp do krajowych połączeń kolejowych, co w toku analizy zostało uwzględnione i potwierdzone. Na wniosek zespołu roboczego wprowadzono też szczegółową charakterystykę osób bezrobotnych, pozostających poza rynkiem pracy.</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IV. ANALIZA SWOT</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Informacje zebrane w diagnozie zostały uporządkowane i podsumowane w formie analizy SWOT. Wstępny projekt opracowany przez zespół roboczy i skorygowany w ramach warsztatów strategicznych został następnie szeroko zaprezentowany mieszkańcom w trakcie cyklu spotkań konsultacyjnych. Mieszkańcy zgłosili szereg własnych propozycji, które zostały zgromadzone przez moderatorów i przekazane do analizy zespołu roboczego oraz omówione w trakcie jednego z warsztatów konsultacyjnych. Poniżej zamieszczono ostateczną wersję analizy SWOT, a kolorem zaznaczono zmiany wprowadzone w procesie konsultacji społecznych.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10485" w:type="dxa"/>
        <w:jc w:val="left"/>
        <w:tblInd w:w="-113" w:type="dxa"/>
        <w:tblLayout w:type="fixed"/>
        <w:tblCellMar>
          <w:top w:w="0" w:type="dxa"/>
          <w:left w:w="108" w:type="dxa"/>
          <w:bottom w:w="0" w:type="dxa"/>
          <w:right w:w="108" w:type="dxa"/>
        </w:tblCellMar>
      </w:tblPr>
      <w:tblGrid>
        <w:gridCol w:w="4248"/>
        <w:gridCol w:w="6237"/>
      </w:tblGrid>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SILNE STRONY</w:t>
            </w:r>
          </w:p>
        </w:tc>
        <w:tc>
          <w:tcPr>
            <w:tcW w:w="6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SŁABE STRONY</w:t>
            </w:r>
          </w:p>
        </w:tc>
      </w:tr>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1. Korzystne warunki komunikacyjne,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 Duży potencjał inwestycyjny obszaru,</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 Liczne szlaki i ścieżki o zróżnicowanym charakterze,</w:t>
            </w:r>
          </w:p>
          <w:p>
            <w:pPr>
              <w:pStyle w:val="Normal"/>
              <w:spacing w:lineRule="auto" w:line="240" w:before="0" w:after="0"/>
              <w:rPr/>
            </w:pPr>
            <w:r>
              <w:rPr>
                <w:rFonts w:cs="Times New Roman" w:ascii="Times New Roman" w:hAnsi="Times New Roman"/>
                <w:sz w:val="20"/>
                <w:szCs w:val="20"/>
              </w:rPr>
              <w:t>4. Rozbudowana sieć rzek i jezior,</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5. Liczne organizacje pozarządowe,</w:t>
            </w:r>
          </w:p>
          <w:p>
            <w:pPr>
              <w:pStyle w:val="Normal"/>
              <w:spacing w:lineRule="auto" w:line="240" w:before="0" w:after="0"/>
              <w:rPr>
                <w:rFonts w:ascii="Times New Roman" w:hAnsi="Times New Roman" w:cs="Times New Roman"/>
                <w:b/>
                <w:b/>
                <w:color w:val="0070C0"/>
                <w:sz w:val="20"/>
                <w:szCs w:val="20"/>
              </w:rPr>
            </w:pPr>
            <w:r>
              <w:rPr>
                <w:rFonts w:cs="Times New Roman" w:ascii="Times New Roman" w:hAnsi="Times New Roman"/>
                <w:b/>
                <w:color w:val="0070C0"/>
                <w:sz w:val="20"/>
                <w:szCs w:val="20"/>
              </w:rPr>
              <w:t>6</w:t>
            </w:r>
            <w:r>
              <w:rPr>
                <w:rFonts w:cs="Times New Roman" w:ascii="Times New Roman" w:hAnsi="Times New Roman"/>
                <w:color w:val="0070C0"/>
                <w:sz w:val="20"/>
                <w:szCs w:val="20"/>
              </w:rPr>
              <w:t>. Wysoki poziom lesistości.</w:t>
            </w:r>
          </w:p>
          <w:p>
            <w:pPr>
              <w:pStyle w:val="Normal"/>
              <w:spacing w:lineRule="auto" w:line="240" w:before="0" w:after="0"/>
              <w:rPr>
                <w:rFonts w:ascii="Times New Roman" w:hAnsi="Times New Roman" w:cs="Times New Roman"/>
                <w:b/>
                <w:b/>
                <w:color w:val="0070C0"/>
                <w:sz w:val="20"/>
                <w:szCs w:val="20"/>
              </w:rPr>
            </w:pPr>
            <w:r>
              <w:rPr>
                <w:rFonts w:cs="Times New Roman" w:ascii="Times New Roman" w:hAnsi="Times New Roman"/>
                <w:b/>
                <w:color w:val="0070C0"/>
                <w:sz w:val="20"/>
                <w:szCs w:val="20"/>
              </w:rPr>
            </w:r>
          </w:p>
        </w:tc>
        <w:tc>
          <w:tcPr>
            <w:tcW w:w="6237" w:type="dxa"/>
            <w:tcBorders>
              <w:top w:val="single" w:sz="4" w:space="0" w:color="000000"/>
              <w:left w:val="single" w:sz="4" w:space="0" w:color="000000"/>
              <w:bottom w:val="single" w:sz="4" w:space="0" w:color="000000"/>
              <w:right w:val="single" w:sz="4" w:space="0" w:color="000000"/>
            </w:tcBorders>
          </w:tcPr>
          <w:p>
            <w:pPr>
              <w:pStyle w:val="Normal"/>
              <w:numPr>
                <w:ilvl w:val="0"/>
                <w:numId w:val="46"/>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Dynamiczny wzrost liczby mieszkańców w wieku poprodukcyjnym</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Niewystarczająca oferta form spędzania czasu wolnego dla mieszkańców,</w:t>
            </w:r>
          </w:p>
          <w:p>
            <w:pPr>
              <w:pStyle w:val="Normal"/>
              <w:numPr>
                <w:ilvl w:val="0"/>
                <w:numId w:val="17"/>
              </w:numPr>
              <w:spacing w:lineRule="auto" w:line="240" w:before="0" w:after="0"/>
              <w:rPr/>
            </w:pPr>
            <w:r>
              <w:rPr>
                <w:rFonts w:cs="Times New Roman" w:ascii="Times New Roman" w:hAnsi="Times New Roman"/>
                <w:sz w:val="20"/>
                <w:szCs w:val="20"/>
              </w:rPr>
              <w:t xml:space="preserve">Depopulacja obszaru w wyniku migracji i ujemnego przyrostu naturalnego, </w:t>
            </w:r>
          </w:p>
          <w:p>
            <w:pPr>
              <w:pStyle w:val="Normal"/>
              <w:numPr>
                <w:ilvl w:val="0"/>
                <w:numId w:val="17"/>
              </w:numPr>
              <w:spacing w:lineRule="auto" w:line="240" w:before="0" w:after="0"/>
              <w:rPr/>
            </w:pPr>
            <w:r>
              <w:rPr>
                <w:rFonts w:cs="Times New Roman" w:ascii="Times New Roman" w:hAnsi="Times New Roman"/>
                <w:sz w:val="20"/>
                <w:szCs w:val="20"/>
              </w:rPr>
              <w:t xml:space="preserve">Braki w ofercie społeczno-kulturalnej, nierównomierne rozłożenie infrastruktury kulturalnej, </w:t>
            </w:r>
            <w:r>
              <w:rPr>
                <w:rFonts w:cs="Times New Roman" w:ascii="Times New Roman" w:hAnsi="Times New Roman"/>
                <w:color w:val="0070C0"/>
                <w:sz w:val="20"/>
                <w:szCs w:val="20"/>
              </w:rPr>
              <w:t>niewystarczająca liczba świetlic wiejskich,</w:t>
            </w:r>
            <w:r>
              <w:rPr>
                <w:rFonts w:cs="Times New Roman" w:ascii="Times New Roman" w:hAnsi="Times New Roman"/>
                <w:sz w:val="20"/>
                <w:szCs w:val="20"/>
              </w:rPr>
              <w:t xml:space="preserve"> </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Niski poziom przedsiębiorczości lokalnej,</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Rosnące bezrobocie,</w:t>
            </w:r>
          </w:p>
          <w:p>
            <w:pPr>
              <w:pStyle w:val="Normal"/>
              <w:numPr>
                <w:ilvl w:val="0"/>
                <w:numId w:val="17"/>
              </w:numPr>
              <w:spacing w:lineRule="auto" w:line="240" w:before="0" w:after="0"/>
              <w:rPr/>
            </w:pPr>
            <w:r>
              <w:rPr>
                <w:rFonts w:cs="Times New Roman" w:ascii="Times New Roman" w:hAnsi="Times New Roman"/>
                <w:sz w:val="20"/>
                <w:szCs w:val="20"/>
              </w:rPr>
              <w:t>Brak wypracowanej i popularyzowanej marki regionu,</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Zły stan infrastruktury komunalnej,</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Niewielki potencjał przyrodniczy obszaru,</w:t>
            </w:r>
          </w:p>
          <w:p>
            <w:pPr>
              <w:pStyle w:val="Normal"/>
              <w:numPr>
                <w:ilvl w:val="0"/>
                <w:numId w:val="17"/>
              </w:numPr>
              <w:spacing w:lineRule="auto" w:line="240" w:before="0" w:after="0"/>
              <w:rPr/>
            </w:pPr>
            <w:r>
              <w:rPr>
                <w:rFonts w:cs="Times New Roman" w:ascii="Times New Roman" w:hAnsi="Times New Roman"/>
                <w:sz w:val="20"/>
                <w:szCs w:val="20"/>
              </w:rPr>
              <w:t xml:space="preserve">Niewystarczająca infrastruktura turystyczna (miejsca noclegowe, mała gastronomia, parkingi, </w:t>
            </w:r>
            <w:r>
              <w:rPr>
                <w:rFonts w:cs="Times New Roman" w:ascii="Times New Roman" w:hAnsi="Times New Roman"/>
                <w:color w:val="0070C0"/>
                <w:sz w:val="20"/>
                <w:szCs w:val="20"/>
              </w:rPr>
              <w:t>atrakcje, kąpieliska</w:t>
            </w:r>
            <w:r>
              <w:rPr>
                <w:rFonts w:cs="Times New Roman" w:ascii="Times New Roman" w:hAnsi="Times New Roman"/>
                <w:sz w:val="20"/>
                <w:szCs w:val="20"/>
              </w:rPr>
              <w:t>),</w:t>
            </w:r>
          </w:p>
          <w:p>
            <w:pPr>
              <w:pStyle w:val="Normal"/>
              <w:numPr>
                <w:ilvl w:val="0"/>
                <w:numId w:val="17"/>
              </w:numPr>
              <w:spacing w:lineRule="auto" w:line="240" w:before="0" w:after="0"/>
              <w:rPr/>
            </w:pPr>
            <w:r>
              <w:rPr>
                <w:rFonts w:cs="Times New Roman" w:ascii="Times New Roman" w:hAnsi="Times New Roman"/>
                <w:sz w:val="20"/>
                <w:szCs w:val="20"/>
              </w:rPr>
              <w:t>Brak promocji i informacji na temat obszaru,</w:t>
            </w:r>
          </w:p>
          <w:p>
            <w:pPr>
              <w:pStyle w:val="Normal"/>
              <w:numPr>
                <w:ilvl w:val="0"/>
                <w:numId w:val="17"/>
              </w:numPr>
              <w:spacing w:lineRule="auto" w:line="240" w:before="0" w:after="0"/>
              <w:rPr>
                <w:rFonts w:ascii="Times New Roman" w:hAnsi="Times New Roman" w:cs="Times New Roman"/>
                <w:sz w:val="20"/>
                <w:szCs w:val="20"/>
              </w:rPr>
            </w:pPr>
            <w:r>
              <w:rPr>
                <w:rFonts w:cs="Times New Roman" w:ascii="Times New Roman" w:hAnsi="Times New Roman"/>
                <w:sz w:val="20"/>
                <w:szCs w:val="20"/>
              </w:rPr>
              <w:t>Wysoki odsetek osób korzystających  z pomocy społecznej,</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Znaczny udział bezrobotnych długotrwale pozostających bez pracy,</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Występujące obszary po dawnych PGR z dużym nasileniem problemów społecznych,</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Słabo rozwinięta komunikacja publiczna,</w:t>
            </w:r>
          </w:p>
          <w:p>
            <w:pPr>
              <w:pStyle w:val="Normal"/>
              <w:numPr>
                <w:ilvl w:val="0"/>
                <w:numId w:val="17"/>
              </w:numPr>
              <w:spacing w:lineRule="auto" w:line="240" w:before="0" w:after="0"/>
              <w:rPr/>
            </w:pPr>
            <w:r>
              <w:rPr>
                <w:rFonts w:cs="Times New Roman" w:ascii="Times New Roman" w:hAnsi="Times New Roman"/>
                <w:color w:val="0070C0"/>
                <w:sz w:val="20"/>
                <w:szCs w:val="20"/>
              </w:rPr>
              <w:t>Niewystarczająco rozbudowana infrastruktura internetowa,</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Słabo rozwinięta sieć kanalizacji na obszarach wiejskich,</w:t>
            </w:r>
          </w:p>
          <w:p>
            <w:pPr>
              <w:pStyle w:val="Normal"/>
              <w:numPr>
                <w:ilvl w:val="0"/>
                <w:numId w:val="17"/>
              </w:numPr>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 xml:space="preserve">Niewystarczająca liczba chodników, </w:t>
            </w:r>
          </w:p>
          <w:p>
            <w:pPr>
              <w:pStyle w:val="Normal"/>
              <w:numPr>
                <w:ilvl w:val="0"/>
                <w:numId w:val="17"/>
              </w:numPr>
              <w:spacing w:lineRule="auto" w:line="240" w:before="0" w:after="0"/>
              <w:rPr>
                <w:rFonts w:ascii="Times New Roman" w:hAnsi="Times New Roman" w:cs="Times New Roman"/>
                <w:b/>
                <w:b/>
                <w:color w:val="0070C0"/>
                <w:sz w:val="20"/>
                <w:szCs w:val="20"/>
              </w:rPr>
            </w:pPr>
            <w:r>
              <w:rPr>
                <w:rFonts w:cs="Times New Roman" w:ascii="Times New Roman" w:hAnsi="Times New Roman"/>
                <w:color w:val="0070C0"/>
                <w:sz w:val="20"/>
                <w:szCs w:val="20"/>
              </w:rPr>
              <w:t>Niski poziom aktywności społecznej i kulturalnej, w szczególności wśród młodzieży,</w:t>
            </w:r>
          </w:p>
        </w:tc>
      </w:tr>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SZANSE</w:t>
            </w:r>
          </w:p>
        </w:tc>
        <w:tc>
          <w:tcPr>
            <w:tcW w:w="6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ZAGROŻENIA</w:t>
            </w:r>
          </w:p>
        </w:tc>
      </w:tr>
      <w:tr>
        <w:trPr/>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 Wzrost zainteresowania inwestorów</w:t>
            </w:r>
            <w:r>
              <w:rPr>
                <w:rFonts w:cs="Times New Roman" w:ascii="Times New Roman" w:hAnsi="Times New Roman"/>
                <w:b/>
                <w:color w:val="0070C0"/>
                <w:sz w:val="20"/>
                <w:szCs w:val="20"/>
              </w:rPr>
              <w:t xml:space="preserve"> </w:t>
            </w:r>
            <w:r>
              <w:rPr>
                <w:rFonts w:cs="Times New Roman" w:ascii="Times New Roman" w:hAnsi="Times New Roman"/>
                <w:color w:val="0070C0"/>
                <w:sz w:val="20"/>
                <w:szCs w:val="20"/>
              </w:rPr>
              <w:t>krajowych i zagranicznych.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 Wzrost aktywności społecznej i ekonomicznej mieszkańców.</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 Plany rozwoju i modernizacji infrastruktury m.in. komunikacyjnej obejmujące obszar LGD.</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 Zwiększenie potencjału administracyjnego i finansowego lokalnych organizacji pozarządowych.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5. Promocja obszaru.</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6. Rozbudowa sieci ścieżek rowerowych.</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7. Rozwój usług dla seniorów.</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8. Rozwój turystyki na obszarze.</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9. Rozbudowa bazy noclegowej i gastronomicznej.</w:t>
            </w:r>
          </w:p>
          <w:p>
            <w:pPr>
              <w:pStyle w:val="Normal"/>
              <w:spacing w:lineRule="auto" w:line="240" w:before="0" w:after="0"/>
              <w:rPr>
                <w:rFonts w:ascii="Times New Roman" w:hAnsi="Times New Roman" w:cs="Times New Roman"/>
                <w:sz w:val="20"/>
                <w:szCs w:val="20"/>
                <w:highlight w:val="yellow"/>
              </w:rPr>
            </w:pPr>
            <w:r>
              <w:rPr>
                <w:rFonts w:cs="Times New Roman" w:ascii="Times New Roman" w:hAnsi="Times New Roman"/>
                <w:color w:val="0070C0"/>
                <w:sz w:val="20"/>
                <w:szCs w:val="20"/>
              </w:rPr>
              <w:t>10 . Aktywizacja społeczności poprzez działania międzypokoleniowe.</w:t>
            </w:r>
          </w:p>
        </w:tc>
        <w:tc>
          <w:tcPr>
            <w:tcW w:w="62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 Niekorzystne trendy demograficzne - „starzenie się” społeczeństwa.</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 Niewystarczające środki finansowe na realizację ważnych inicjatyw rozwojowych.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3. Opuszczanie terenu LGD przez osoby młode.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 Niestabilność makroekonomiczna.</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5. Zanieczyszczenie środowiska naturalnego.</w:t>
            </w:r>
          </w:p>
          <w:p>
            <w:pPr>
              <w:pStyle w:val="Normal"/>
              <w:spacing w:lineRule="auto" w:line="240" w:before="0" w:after="0"/>
              <w:rPr/>
            </w:pPr>
            <w:r>
              <w:rPr>
                <w:rFonts w:cs="Times New Roman" w:ascii="Times New Roman" w:hAnsi="Times New Roman"/>
                <w:color w:val="0070C0"/>
                <w:sz w:val="20"/>
                <w:szCs w:val="20"/>
              </w:rPr>
              <w:t xml:space="preserve">6. </w:t>
            </w:r>
            <w:r>
              <w:rPr>
                <w:rFonts w:cs="Times New Roman" w:ascii="Times New Roman" w:hAnsi="Times New Roman"/>
                <w:color w:val="0070C0"/>
                <w:sz w:val="20"/>
                <w:szCs w:val="20"/>
                <w:lang w:bidi="hi-IN"/>
              </w:rPr>
              <w:t>Zanieczyszczenie powietrza</w:t>
            </w:r>
            <w:r>
              <w:rPr>
                <w:rFonts w:cs="Times New Roman" w:ascii="Times New Roman" w:hAnsi="Times New Roman"/>
                <w:color w:val="0070C0"/>
                <w:sz w:val="20"/>
                <w:szCs w:val="20"/>
              </w:rPr>
              <w:t xml:space="preserve"> w wyniku ogrzewania domów i mieszkań piecami węglowymi.</w:t>
            </w:r>
          </w:p>
          <w:p>
            <w:pPr>
              <w:pStyle w:val="Normal"/>
              <w:spacing w:lineRule="auto" w:line="240" w:before="0" w:after="0"/>
              <w:rPr>
                <w:rFonts w:ascii="Times New Roman" w:hAnsi="Times New Roman" w:cs="Times New Roman"/>
                <w:color w:val="0070C0"/>
                <w:sz w:val="20"/>
                <w:szCs w:val="20"/>
              </w:rPr>
            </w:pPr>
            <w:r>
              <w:rPr>
                <w:rFonts w:cs="Times New Roman" w:ascii="Times New Roman" w:hAnsi="Times New Roman"/>
                <w:color w:val="0070C0"/>
                <w:sz w:val="20"/>
                <w:szCs w:val="20"/>
              </w:rPr>
              <w:t>7. Skomplikowane przepisy, biurokracja.</w:t>
            </w:r>
          </w:p>
          <w:p>
            <w:pPr>
              <w:pStyle w:val="Normal"/>
              <w:spacing w:lineRule="auto" w:line="240" w:before="0" w:after="0"/>
              <w:rPr>
                <w:rFonts w:ascii="Times New Roman" w:hAnsi="Times New Roman" w:cs="Times New Roman"/>
                <w:b/>
                <w:b/>
                <w:color w:val="0070C0"/>
                <w:sz w:val="20"/>
                <w:szCs w:val="20"/>
              </w:rPr>
            </w:pPr>
            <w:r>
              <w:rPr>
                <w:rFonts w:cs="Times New Roman" w:ascii="Times New Roman" w:hAnsi="Times New Roman"/>
                <w:color w:val="0070C0"/>
                <w:sz w:val="20"/>
                <w:szCs w:val="20"/>
              </w:rPr>
              <w:t>8. Brak rozwojowych programów władzy centralnej skierowanych na obszary peryferyjne kraju.</w:t>
            </w:r>
          </w:p>
        </w:tc>
      </w:tr>
    </w:tbl>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V. CELE I WSKAŹNIKI</w:t>
      </w:r>
    </w:p>
    <w:p>
      <w:pPr>
        <w:pStyle w:val="Normal"/>
        <w:spacing w:lineRule="auto" w:line="240" w:before="60" w:after="0"/>
        <w:jc w:val="both"/>
        <w:rPr/>
      </w:pPr>
      <w:r>
        <w:rPr>
          <w:rFonts w:cs="Times New Roman" w:ascii="Times New Roman" w:hAnsi="Times New Roman"/>
          <w:sz w:val="24"/>
          <w:szCs w:val="24"/>
        </w:rPr>
        <w:t xml:space="preserve">Misją LGD CIW jest rozwój potencjału regionu w oparciu o zasoby naturalne i kreowane zasoby ludzkie. </w:t>
        <w:br/>
        <w:t>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MRiRW. W ramach LSR na lata 2014-2020 LGD CIW postanowiła realizować trzy cele ogólne, za pomocą zestawu 4 celów szczegółowych i 8 przedsięwzięć.</w:t>
      </w:r>
    </w:p>
    <w:p>
      <w:pPr>
        <w:pStyle w:val="Normal"/>
        <w:spacing w:lineRule="auto" w:line="240" w:before="60" w:after="0"/>
        <w:jc w:val="both"/>
        <w:rPr/>
      </w:pPr>
      <w:r>
        <w:rPr>
          <w:rFonts w:cs="Times New Roman" w:ascii="Times New Roman" w:hAnsi="Times New Roman"/>
          <w:b/>
          <w:sz w:val="24"/>
          <w:szCs w:val="24"/>
        </w:rPr>
        <w:t>Cel ogólny 1: Wsparcie rozwoju gospodarczego i konkurencyjności obszaru LSR do 2023 r.</w:t>
      </w:r>
    </w:p>
    <w:p>
      <w:pPr>
        <w:pStyle w:val="Normal"/>
        <w:spacing w:lineRule="auto" w:line="240" w:before="60" w:after="0"/>
        <w:jc w:val="both"/>
        <w:rPr/>
      </w:pPr>
      <w:r>
        <w:rPr>
          <w:rFonts w:cs="Times New Roman" w:ascii="Times New Roman" w:hAnsi="Times New Roman"/>
          <w:sz w:val="24"/>
          <w:szCs w:val="24"/>
        </w:rPr>
        <w:t>Cel szczegółowy 1.1: Rozwój przedsiębiorczości na obszarze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Przedsięwzięcia: 1.1.1 Zakładanie działalności gospodarczej</w:t>
      </w:r>
    </w:p>
    <w:p>
      <w:pPr>
        <w:pStyle w:val="Normal"/>
        <w:spacing w:lineRule="auto" w:line="240" w:before="60" w:after="0"/>
        <w:jc w:val="both"/>
        <w:rPr/>
      </w:pPr>
      <w:r>
        <w:rPr>
          <w:rFonts w:cs="Times New Roman" w:ascii="Times New Roman" w:hAnsi="Times New Roman"/>
          <w:sz w:val="24"/>
          <w:szCs w:val="24"/>
        </w:rPr>
        <w:tab/>
        <w:tab/>
        <w:t xml:space="preserve">    1.1.2 Rozwój działalności gospodarczej</w:t>
      </w:r>
    </w:p>
    <w:p>
      <w:pPr>
        <w:pStyle w:val="Normal"/>
        <w:spacing w:lineRule="auto" w:line="240" w:before="60" w:after="0"/>
        <w:jc w:val="both"/>
        <w:rPr/>
      </w:pPr>
      <w:r>
        <w:rPr>
          <w:rFonts w:cs="Times New Roman" w:ascii="Times New Roman" w:hAnsi="Times New Roman"/>
          <w:b/>
          <w:sz w:val="24"/>
          <w:szCs w:val="24"/>
        </w:rPr>
        <w:t>Cel ogólny 2: Aktywizacja mieszkańców obszaru LSR i budowanie kapitału społecznego do 2023 r.</w:t>
      </w:r>
    </w:p>
    <w:p>
      <w:pPr>
        <w:pStyle w:val="Normal"/>
        <w:spacing w:lineRule="auto" w:line="240" w:before="60" w:after="0"/>
        <w:jc w:val="both"/>
        <w:rPr/>
      </w:pPr>
      <w:r>
        <w:rPr>
          <w:rFonts w:cs="Times New Roman" w:ascii="Times New Roman" w:hAnsi="Times New Roman"/>
          <w:sz w:val="24"/>
          <w:szCs w:val="24"/>
        </w:rPr>
        <w:t>Cel szczegółowy 2.1: Aktywizacja i integracja mieszkańców obszaru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Przedsięwzięcia: 2.1.1 Działania aktywizujące i integrujące mieszkańców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tab/>
        <w:t xml:space="preserve">  2.1.2 Funkcjonowanie LGD</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tab/>
        <w:t xml:space="preserve">  2.1.3 Projekty współpracy</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tab/>
        <w:t xml:space="preserve">  2.1.4 Oddolne koncepcje rozwoju w skali mikro (Smart Village)</w:t>
      </w:r>
    </w:p>
    <w:p>
      <w:pPr>
        <w:pStyle w:val="Normal"/>
        <w:spacing w:lineRule="auto" w:line="240" w:before="60" w:after="0"/>
        <w:jc w:val="both"/>
        <w:rPr/>
      </w:pPr>
      <w:r>
        <w:rPr>
          <w:rFonts w:cs="Times New Roman" w:ascii="Times New Roman" w:hAnsi="Times New Roman"/>
          <w:sz w:val="24"/>
          <w:szCs w:val="24"/>
        </w:rPr>
        <w:t>Cel szczegółowy 2.2: Promocja zasobów lokalnych obszaru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Przedsięwzięcie: 2.2.1 Promocja i informacja</w:t>
      </w:r>
    </w:p>
    <w:p>
      <w:pPr>
        <w:pStyle w:val="Normal"/>
        <w:spacing w:lineRule="auto" w:line="240" w:before="60" w:after="0"/>
        <w:jc w:val="both"/>
        <w:rPr/>
      </w:pPr>
      <w:r>
        <w:rPr>
          <w:rFonts w:cs="Times New Roman" w:ascii="Times New Roman" w:hAnsi="Times New Roman"/>
          <w:b/>
          <w:sz w:val="24"/>
          <w:szCs w:val="24"/>
        </w:rPr>
        <w:t>Cel ogólny 3: Wzmocnienie atrakcyjności obszaru LSR do 2023 r.</w:t>
      </w:r>
    </w:p>
    <w:p>
      <w:pPr>
        <w:pStyle w:val="Normal"/>
        <w:spacing w:lineRule="auto" w:line="240" w:before="60" w:after="0"/>
        <w:jc w:val="both"/>
        <w:rPr/>
      </w:pPr>
      <w:r>
        <w:rPr>
          <w:rFonts w:cs="Times New Roman" w:ascii="Times New Roman" w:hAnsi="Times New Roman"/>
          <w:sz w:val="24"/>
          <w:szCs w:val="24"/>
        </w:rPr>
        <w:t>Cel szczegółowy 3.1: Rozbudowa i poprawa standardu infrastruktury turystycznej i rekreacyjnej na obszarze LSR do 2023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Przedsięwzięcia: 3.1.1 Infrastruktura turystyczna i rekreacyjna (procedura konkursowa)</w:t>
      </w:r>
    </w:p>
    <w:p>
      <w:pPr>
        <w:pStyle w:val="Normal"/>
        <w:spacing w:lineRule="auto" w:line="240" w:before="60" w:after="0"/>
        <w:jc w:val="both"/>
        <w:rPr/>
      </w:pPr>
      <w:r>
        <w:rPr>
          <w:rFonts w:cs="Times New Roman" w:ascii="Times New Roman" w:hAnsi="Times New Roman"/>
          <w:sz w:val="24"/>
          <w:szCs w:val="24"/>
        </w:rPr>
        <w:tab/>
        <w:tab/>
        <w:t xml:space="preserve">  3.1.2 Infrastruktura turystyczna i rekreacyjna (projekty grantowe)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sz w:val="24"/>
          <w:szCs w:val="24"/>
        </w:rPr>
        <w:t>Przedsięwzięcie 1.1.1 Zakładanie działalności gospodarczej</w:t>
      </w:r>
      <w:r>
        <w:rPr>
          <w:rFonts w:cs="Times New Roman" w:ascii="Times New Roman" w:hAnsi="Times New Roman"/>
          <w:sz w:val="24"/>
          <w:szCs w:val="24"/>
        </w:rPr>
        <w:t xml:space="preserve"> (realizowane w formie konkursu na premię ryczałtową) pozwoli na wsparcie przez LGD zakładania nowych firm. Premia w wysokości 20.000 € tj.  80.000 zł na jednego wnioskodawcę będzie przekazywana w dwóch płatnościach, pod warunkiem prawidłowego zrealizowania biznesplanu i utworzenia minimum jednego miejsca pracy (w przeliczeniu na pełne etaty średnioroczne), w tym samozatrudnienie. LGD dokona oceny projektu i przekaże wnioski do Urzędu Marszałkowskiego (który odpowiada za zawarcie umowy, rozliczenie i kontrolę projektów).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pPr>
        <w:pStyle w:val="Normal"/>
        <w:spacing w:lineRule="auto" w:line="240" w:before="60" w:after="0"/>
        <w:jc w:val="both"/>
        <w:rPr/>
      </w:pPr>
      <w:r>
        <w:rPr>
          <w:rFonts w:cs="Times New Roman"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 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1.1.2 Rozwój działalności gospodarczej</w:t>
      </w:r>
      <w:r>
        <w:rPr>
          <w:rFonts w:cs="Times New Roman" w:ascii="Times New Roman" w:hAnsi="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75.000 € tj. 300.000 zł, stanowiące maksymalnie 70% kosztów kwalifikowalnych operacji (jej wartość musi wynieść co najmniej 12.500 € tj. 50.000 zł). LGD dokona oceny projektu i przekaże wnioski do Urzędu Marszałkowskiego (który odpowiada za zawarcie umowy, rozliczenie i kontrolę projektów).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pPr>
      <w:r>
        <w:rPr>
          <w:rFonts w:cs="Times New Roman" w:ascii="Times New Roman" w:hAnsi="Times New Roman"/>
          <w:sz w:val="24"/>
          <w:szCs w:val="24"/>
        </w:rPr>
        <w:t xml:space="preserve">Spójność z diagnozą: w badaniu ankietowym mieszkańcy najgorzej ocenili rynek pracy i zarobki, dane statystyczne potwierdzają, że na obszarze występuje wysoka stopa bezrobocia (w szczególności wśród kobiet), a średnie zarobki są niższe niż średnia w województwie i Polsce. </w:t>
      </w:r>
    </w:p>
    <w:p>
      <w:pPr>
        <w:pStyle w:val="Normal"/>
        <w:spacing w:lineRule="auto" w:line="240" w:before="60" w:after="0"/>
        <w:jc w:val="both"/>
        <w:rPr/>
      </w:pPr>
      <w:r>
        <w:rPr>
          <w:rFonts w:cs="Times New Roman"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 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2.1.1 Działania aktywizujące i integrujące mieszkańców</w:t>
      </w:r>
      <w:r>
        <w:rPr>
          <w:rFonts w:cs="Times New Roman" w:ascii="Times New Roman" w:hAnsi="Times New Roman"/>
          <w:sz w:val="24"/>
          <w:szCs w:val="24"/>
        </w:rPr>
        <w:t xml:space="preserve"> (realizowane w formie projektów grantowych) pozwoli na wsparcie budowania i wzmocnienia kapitału społecznego obszaru i szerokiej mobilizacji mieszkańców, liderów lokalnych i organizacji pozarządowych do aktywnego działania na rzecz swojej małej ojczyzny. Finansowane będą operacje, które najlepiej mobilizują lokalne zasoby i </w:t>
      </w:r>
      <w:r>
        <w:rPr>
          <w:rFonts w:cs="Times New Roman" w:ascii="Times New Roman" w:hAnsi="Times New Roman"/>
          <w:color w:val="000000"/>
          <w:sz w:val="24"/>
          <w:szCs w:val="24"/>
        </w:rPr>
        <w:t>przyczyniają</w:t>
      </w:r>
      <w:r>
        <w:rPr>
          <w:rFonts w:cs="Times New Roman" w:ascii="Times New Roman" w:hAnsi="Times New Roman"/>
          <w:color w:val="FF0000"/>
          <w:sz w:val="24"/>
          <w:szCs w:val="24"/>
        </w:rPr>
        <w:t xml:space="preserve"> </w:t>
      </w:r>
      <w:r>
        <w:rPr>
          <w:rFonts w:cs="Times New Roman" w:ascii="Times New Roman" w:hAnsi="Times New Roman"/>
          <w:sz w:val="24"/>
          <w:szCs w:val="24"/>
        </w:rPr>
        <w:t>się do tworzenia infrastrukturalnej przestrzeni społecznej 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pPr>
      <w:r>
        <w:rPr>
          <w:rFonts w:cs="Times New Roman" w:ascii="Times New Roman" w:hAnsi="Times New Roman"/>
          <w:b/>
          <w:sz w:val="24"/>
          <w:szCs w:val="24"/>
        </w:rPr>
        <w:t>Przedsięwzięcie 2.1.2 Funkcjonowanie LGD</w:t>
      </w:r>
      <w:r>
        <w:rPr>
          <w:rFonts w:cs="Times New Roman" w:ascii="Times New Roman" w:hAnsi="Times New Roman"/>
          <w:sz w:val="24"/>
          <w:szCs w:val="24"/>
        </w:rPr>
        <w:t xml:space="preserve"> (realizowane na mocy umowy ramowej pomiędzy LGD 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także zapewnione zostaną środki na realizację planu komunikacji ze społecznością lokalną (szkolenia, doradztwo, materiały promocyjne, publikacje itd.).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 Zgodność z celami PROW 2014-2020: przedsięwzięcie wspiera cel szczegółowy 6b i jest niezbędne do prawidłowej realizacji LSR.</w:t>
      </w:r>
    </w:p>
    <w:p>
      <w:pPr>
        <w:pStyle w:val="Normal"/>
        <w:spacing w:lineRule="auto" w:line="240" w:before="60" w:after="0"/>
        <w:jc w:val="both"/>
        <w:rPr/>
      </w:pPr>
      <w:r>
        <w:rPr>
          <w:rFonts w:cs="Times New Roman" w:ascii="Times New Roman" w:hAnsi="Times New Roman"/>
          <w:b/>
          <w:sz w:val="24"/>
          <w:szCs w:val="24"/>
        </w:rPr>
        <w:t>Przedsięwzięcie 2.1.3 Projekty współpracy</w:t>
      </w:r>
      <w:r>
        <w:rPr>
          <w:rFonts w:cs="Times New Roman" w:ascii="Times New Roman" w:hAnsi="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 czterech projektów współpracy (trzech o zasięgu krajowym i jednego międzynarodowego), które pozwolą na osiągnięcie celu szczegółowego 2.1 i realizację przypisanych mu wskaźników. W ramach tego działania LGD CIW planuje:</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Projekt międzynarodowy (3 lgd WZP plus 1 lgd ze Szwecji): „Polsko – szwedzkie targi przedsiębiorczości” – identyfikacja dobrych praktyk wiejskiej przedsiębiorczości poprzez organizację wyjazdów studyjnych dla lokalnych przedsiębiorców</w:t>
      </w:r>
    </w:p>
    <w:p>
      <w:pPr>
        <w:pStyle w:val="Akapitzlist"/>
        <w:numPr>
          <w:ilvl w:val="0"/>
          <w:numId w:val="42"/>
        </w:numPr>
        <w:spacing w:lineRule="auto" w:line="240" w:before="60" w:after="0"/>
        <w:contextualSpacing/>
        <w:jc w:val="both"/>
        <w:rPr/>
      </w:pPr>
      <w:r>
        <w:rPr>
          <w:rFonts w:cs="Times New Roman" w:ascii="Times New Roman" w:hAnsi="Times New Roman"/>
          <w:sz w:val="24"/>
          <w:szCs w:val="24"/>
        </w:rPr>
        <w:t>Celem ogólnym projektu jest identyfikację dobrych praktyk w zakresie wykorzystania dziedzictwa kulinarnego dla utworzenia innowacyjnego wiejskiego produktu turystycznego Szwecji i Polski</w:t>
      </w:r>
    </w:p>
    <w:p>
      <w:pPr>
        <w:pStyle w:val="Akapitzlist"/>
        <w:numPr>
          <w:ilvl w:val="0"/>
          <w:numId w:val="4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Celami szczegółowymi projektu są:</w:t>
      </w:r>
    </w:p>
    <w:p>
      <w:pPr>
        <w:pStyle w:val="Akapitzlist"/>
        <w:spacing w:lineRule="auto" w:line="240" w:before="60" w:after="0"/>
        <w:ind w:left="780" w:hanging="0"/>
        <w:contextualSpacing/>
        <w:jc w:val="both"/>
        <w:rPr>
          <w:rFonts w:ascii="Times New Roman" w:hAnsi="Times New Roman" w:cs="Times New Roman"/>
          <w:sz w:val="24"/>
          <w:szCs w:val="24"/>
        </w:rPr>
      </w:pPr>
      <w:r>
        <w:rPr>
          <w:rFonts w:cs="Times New Roman" w:ascii="Times New Roman" w:hAnsi="Times New Roman"/>
          <w:sz w:val="24"/>
          <w:szCs w:val="24"/>
        </w:rPr>
        <w:t>Wzrost zainteresowania przedsiębiorczością wiejską mieszkańców zachodniopomorskiej wsi i szwedzkiego partnerstwa</w:t>
      </w:r>
    </w:p>
    <w:p>
      <w:pPr>
        <w:pStyle w:val="Akapitzlist"/>
        <w:spacing w:lineRule="auto" w:line="240" w:before="60" w:after="0"/>
        <w:ind w:left="780" w:hanging="0"/>
        <w:contextualSpacing/>
        <w:jc w:val="both"/>
        <w:rPr>
          <w:rFonts w:ascii="Times New Roman" w:hAnsi="Times New Roman" w:cs="Times New Roman"/>
          <w:sz w:val="24"/>
          <w:szCs w:val="24"/>
        </w:rPr>
      </w:pPr>
      <w:r>
        <w:rPr>
          <w:rFonts w:cs="Times New Roman" w:ascii="Times New Roman" w:hAnsi="Times New Roman"/>
          <w:sz w:val="24"/>
          <w:szCs w:val="24"/>
        </w:rPr>
        <w:t>Identyfikacja nowych produktów turystyki wiejskiej jako inspiracji do podejmowania działalności gospodarczej w oparciu o dziedzictwo kulinarne</w:t>
      </w:r>
    </w:p>
    <w:p>
      <w:pPr>
        <w:pStyle w:val="Akapitzlist"/>
        <w:spacing w:lineRule="auto" w:line="240" w:before="60" w:after="0"/>
        <w:ind w:left="780" w:hanging="0"/>
        <w:contextualSpacing/>
        <w:jc w:val="both"/>
        <w:rPr>
          <w:rFonts w:ascii="Times New Roman" w:hAnsi="Times New Roman" w:cs="Times New Roman"/>
          <w:sz w:val="24"/>
          <w:szCs w:val="24"/>
        </w:rPr>
      </w:pPr>
      <w:r>
        <w:rPr>
          <w:rFonts w:cs="Times New Roman" w:ascii="Times New Roman" w:hAnsi="Times New Roman"/>
          <w:sz w:val="24"/>
          <w:szCs w:val="24"/>
        </w:rPr>
        <w:t>Analiza możliwych do przeniesienia dobrych praktyk kulinarnej turystyki wiejskiej oraz przekazanie informacji na ich temat mieszkańcom obszarów objętych LSR.</w:t>
      </w:r>
    </w:p>
    <w:p>
      <w:pPr>
        <w:pStyle w:val="Akapitzlist"/>
        <w:spacing w:lineRule="auto" w:line="240" w:before="60" w:after="0"/>
        <w:ind w:left="780" w:hanging="0"/>
        <w:contextualSpacing/>
        <w:jc w:val="both"/>
        <w:rPr/>
      </w:pPr>
      <w:r>
        <w:rPr>
          <w:rFonts w:cs="Times New Roman" w:ascii="Times New Roman" w:hAnsi="Times New Roman"/>
          <w:sz w:val="24"/>
          <w:szCs w:val="24"/>
        </w:rPr>
        <w:t>Promocja dziedzictwa kulinarnego Pomorza Zachodniego i Szwecji</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 xml:space="preserve">Projekt krajowy (4 LGD WZP): rozwój infrastruktury turystycznej i rekreacyjnej w oparciu </w:t>
        <w:br/>
        <w:t>o dziedzictwo kulturowe (miejscowe podania i legendy) poprzez utworzenie/doposażenie miejsc rekreacji/szlaków turystycznych,</w:t>
      </w:r>
    </w:p>
    <w:p>
      <w:pPr>
        <w:pStyle w:val="Akapitzlist"/>
        <w:numPr>
          <w:ilvl w:val="0"/>
          <w:numId w:val="4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 ogólny projektu: rozwój infrastruktury turystycznej i rekreacyjnej na obszarze LGD</w:t>
        <w:br/>
        <w:t>powiązanej z lokalną historią oraz miejscowymi podaniami i legendami.</w:t>
      </w:r>
    </w:p>
    <w:p>
      <w:pPr>
        <w:pStyle w:val="Akapitzlist"/>
        <w:numPr>
          <w:ilvl w:val="0"/>
          <w:numId w:val="4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Cele szczegółowe projektu:</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 xml:space="preserve">Rozszerzenie oferty turystycznej, tworzenie nowych produktów turystycznych </w:t>
        <w:br/>
        <w:t>z wykorzystaniem zasobów historycznych, kulturowych, patriotycznych, religijnych i artystycznych;</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Powstanie miejsc w odwołaniu do wydarzeń i postaci historycznych oraz lokalnych podań i legend;</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shd w:fill="FFFFFF" w:val="clear"/>
        </w:rPr>
        <w:t xml:space="preserve">Utworzenie towarzyszących informacyjnych i infrastrukturalnych produktów turystycznych, np. tablice informacyjne; znakowanie szlaków; foldery/ulotki/broszury; obiekty infrastruktury turystycznej i rekreacyjnej; </w:t>
      </w:r>
    </w:p>
    <w:p>
      <w:pPr>
        <w:pStyle w:val="Akapitzlist"/>
        <w:numPr>
          <w:ilvl w:val="0"/>
          <w:numId w:val="28"/>
        </w:numPr>
        <w:shd w:fill="FFFFFF" w:val="clea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Wzmocnienie tożsamości lokalnej, kultywowanie poczucia przynależności i wspólnoty. </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Projekt krajowy (3 lgd WZP): Utworzenie zintegrowanych stref rekreacji i informacji szansą na integrację i aktywizację mieszkańców</w:t>
      </w:r>
    </w:p>
    <w:p>
      <w:pPr>
        <w:pStyle w:val="Akapitzlist"/>
        <w:numPr>
          <w:ilvl w:val="0"/>
          <w:numId w:val="33"/>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 główny: integracja i aktywizacja mieszkańców z obszaru 3 lgd woj. zachodniopomorskiego</w:t>
      </w:r>
    </w:p>
    <w:p>
      <w:pPr>
        <w:pStyle w:val="Akapitzlist"/>
        <w:numPr>
          <w:ilvl w:val="0"/>
          <w:numId w:val="33"/>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Cele szczegółowe: </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Utworzenie w 15 gminach z obszaru działania stref rekreacji i informacji wyposażonych w wifi, tablice informacyjne, dostęp do energii elektr., drewnianą architekturę rekreacyjną i inne</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Promowanie aktywnego trybu życia i integracji mieszkańców w oparciu o nowe technologie it.</w:t>
      </w:r>
    </w:p>
    <w:p>
      <w:pPr>
        <w:pStyle w:val="Akapitzlist"/>
        <w:numPr>
          <w:ilvl w:val="0"/>
          <w:numId w:val="32"/>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Projekt krajowy (min 3 LGD WZP): rozwój infrastruktury społecznej na obszarze LGD przyczyniającej się do integracji i aktywizacji mieszkańców.</w:t>
      </w:r>
    </w:p>
    <w:p>
      <w:pPr>
        <w:pStyle w:val="Akapitzlist"/>
        <w:numPr>
          <w:ilvl w:val="0"/>
          <w:numId w:val="2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 główny: rozwój infrastruktury społecznej na obszarze LGD poprzez utworzenie miejsc integracji i aktywizacji mieszkańców,</w:t>
      </w:r>
    </w:p>
    <w:p>
      <w:pPr>
        <w:pStyle w:val="Akapitzlist"/>
        <w:numPr>
          <w:ilvl w:val="0"/>
          <w:numId w:val="2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Cele szczegółowe:</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 Utworzenie na obszarze działania LGD CIW miejsc służących społeczności lokalnej do integracji i aktywizacji,</w:t>
      </w:r>
    </w:p>
    <w:p>
      <w:pPr>
        <w:pStyle w:val="Akapitzlist"/>
        <w:spacing w:lineRule="auto" w:line="240" w:before="6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t>-  Promowanie aktywnego trybu życia, aktywizacji i integracji przy wykorzystaniu specjalnie stworzonej i przystosowanej do tego celu infrastruktury społecznej.</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pPr>
      <w:r>
        <w:rPr>
          <w:rFonts w:cs="Times New Roman"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 i jest niezbędne do prawidłowej realizacji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Przedsięwzięcie 2.1.4 Oddolne koncepcje rozwoju w skali mikro (Smart Village) (</w:t>
      </w:r>
      <w:r>
        <w:rPr>
          <w:rFonts w:cs="Times New Roman" w:ascii="Times New Roman" w:hAnsi="Times New Roman"/>
          <w:sz w:val="24"/>
          <w:szCs w:val="24"/>
        </w:rPr>
        <w:t>realizowane w formie projektów grantowych, pomoc wypłacana jest w formie płatności zryczałtowanej) umożliwia finansowanie przygotowania oddolnych koncepcji rozwoju w skali mikro (Smart Village – inteligentna wioska). 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Całkowita wartość jednego grantu to 1.000 € tj. 4.000 zł. Refundacji podlegać będzie 100% kosztów kwalifikowanych w przypadku wszystkich wnioskodawców.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z przeprowadzonej diagnozy wynika, iż do najważniejszych obszarów, w których LGD powinna podejmować działania i wywoływać zmianę jest rynek pracy, turystyka, infrastruktura, aktywność społeczna, a także wykluczenie społeczne.</w:t>
      </w:r>
    </w:p>
    <w:p>
      <w:pPr>
        <w:pStyle w:val="Normal"/>
        <w:spacing w:lineRule="auto" w:line="240" w:before="60" w:after="0"/>
        <w:jc w:val="both"/>
        <w:rPr/>
      </w:pPr>
      <w:r>
        <w:rPr>
          <w:rFonts w:cs="Times New Roman" w:ascii="Times New Roman" w:hAnsi="Times New Roman"/>
          <w:sz w:val="24"/>
          <w:szCs w:val="24"/>
        </w:rPr>
        <w:t>Spójność z analizą SWOT: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 silnych stronach: liczne organizacje pozarządowe.</w:t>
      </w:r>
    </w:p>
    <w:p>
      <w:pPr>
        <w:pStyle w:val="Normal"/>
        <w:spacing w:lineRule="auto" w:line="240" w:before="60" w:after="0"/>
        <w:jc w:val="both"/>
        <w:rPr/>
      </w:pPr>
      <w:r>
        <w:rPr>
          <w:rFonts w:cs="Times New Roman" w:ascii="Times New Roman" w:hAnsi="Times New Roman"/>
          <w:sz w:val="24"/>
          <w:szCs w:val="24"/>
        </w:rPr>
        <w:t xml:space="preserve">Zgodność z celami PROW 2014-2020: przedsięwzięcie wspiera cel szczegółowy 6B. </w:t>
      </w:r>
    </w:p>
    <w:p>
      <w:pPr>
        <w:pStyle w:val="Normal"/>
        <w:spacing w:lineRule="auto" w:line="240" w:before="60" w:after="0"/>
        <w:jc w:val="both"/>
        <w:rPr/>
      </w:pPr>
      <w:r>
        <w:rPr>
          <w:rFonts w:cs="Times New Roman" w:ascii="Times New Roman" w:hAnsi="Times New Roman"/>
          <w:b/>
          <w:sz w:val="24"/>
          <w:szCs w:val="24"/>
        </w:rPr>
        <w:t>Przedsięwzięcie 2.2.1 Promocja i informacja</w:t>
      </w:r>
      <w:r>
        <w:rPr>
          <w:rFonts w:cs="Times New Roman" w:ascii="Times New Roman" w:hAnsi="Times New Roman"/>
          <w:sz w:val="24"/>
          <w:szCs w:val="24"/>
        </w:rPr>
        <w:t xml:space="preserve"> (realizowane w formie projektów grantowych)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3.1.1 Infrastruktura turystyczna i rekreacyjna</w:t>
      </w:r>
      <w:r>
        <w:rPr>
          <w:rFonts w:cs="Times New Roman" w:ascii="Times New Roman" w:hAnsi="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 12.500 € tj. 50.000 zł. Refundacji podlegać będzie  do 90% kosztów kwalifikowalnych, a w przypadku, gdy z wnioskiem wystąpi jednostka sektora finansów publicznych – do  63,63%. LGD dokona oceny projektu i przekaże wnioski do Urzędu Marszałkowskiego (który odpowiada za zawarcie umowy, rozliczenie i kontrolę projektów).</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z celami PROW 2014-2020: przedsięwzięcie wspiera cel szczegółowy 6b.</w:t>
      </w:r>
    </w:p>
    <w:p>
      <w:pPr>
        <w:pStyle w:val="Normal"/>
        <w:spacing w:lineRule="auto" w:line="240" w:before="60" w:after="0"/>
        <w:jc w:val="both"/>
        <w:rPr/>
      </w:pPr>
      <w:r>
        <w:rPr>
          <w:rFonts w:cs="Times New Roman" w:ascii="Times New Roman" w:hAnsi="Times New Roman"/>
          <w:b/>
          <w:sz w:val="24"/>
          <w:szCs w:val="24"/>
        </w:rPr>
        <w:t>Przedsięwzięcie 3.1.2 Infrastruktura turystyczna i rekreacyjna</w:t>
      </w:r>
      <w:r>
        <w:rPr>
          <w:rFonts w:cs="Times New Roman" w:ascii="Times New Roman" w:hAnsi="Times New Roman"/>
          <w:sz w:val="24"/>
          <w:szCs w:val="24"/>
        </w:rPr>
        <w:t xml:space="preserve"> (realizowane w formie projektów grantowych) ponownie pozwoli zwiększyć atrakcyjność obszaru LGD, tym razem z szerokim zaangażowaniem mieszkańców i organizacji pozarządowych. Finansowaniu podlegać będzie budowa i przebudowa obiektów infrastruktury turystycznej i rekreacyjnej.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pPr>
        <w:pStyle w:val="Normal"/>
        <w:spacing w:lineRule="auto" w:line="240" w:before="60" w:after="0"/>
        <w:jc w:val="both"/>
        <w:rPr/>
      </w:pPr>
      <w:r>
        <w:rPr>
          <w:rFonts w:cs="Times New Roman" w:ascii="Times New Roman" w:hAnsi="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przedsięwzięcie wspiera cel szczegółowy 6b</w:t>
      </w:r>
      <w:r>
        <w:rPr>
          <w:rFonts w:cs="Times New Roman" w:ascii="Times New Roman" w:hAnsi="Times New Roman"/>
        </w:rPr>
        <w:t>.</w:t>
      </w:r>
    </w:p>
    <w:p>
      <w:pPr>
        <w:pStyle w:val="Normal"/>
        <w:spacing w:lineRule="auto" w:line="240" w:before="60" w:after="0"/>
        <w:jc w:val="both"/>
        <w:rPr>
          <w:rFonts w:ascii="Times New Roman" w:hAnsi="Times New Roman" w:cs="Times New Roman"/>
        </w:rPr>
      </w:pPr>
      <w:r>
        <w:rPr>
          <w:rFonts w:cs="Times New Roman" w:ascii="Times New Roman" w:hAnsi="Times New Roman"/>
        </w:rPr>
      </w:r>
    </w:p>
    <w:p>
      <w:pPr>
        <w:sectPr>
          <w:headerReference w:type="default" r:id="rId17"/>
          <w:footerReference w:type="default" r:id="rId18"/>
          <w:footnotePr>
            <w:numFmt w:val="decimal"/>
          </w:footnotePr>
          <w:type w:val="nextPage"/>
          <w:pgSz w:w="11906" w:h="16838"/>
          <w:pgMar w:left="1276" w:right="1133" w:gutter="0" w:header="426" w:top="1674" w:footer="0" w:bottom="567"/>
          <w:pgNumType w:fmt="decimal"/>
          <w:formProt w:val="false"/>
          <w:textDirection w:val="lrTb"/>
          <w:docGrid w:type="default" w:linePitch="360" w:charSpace="0"/>
        </w:sect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rPr>
          <w:b/>
          <w:b/>
        </w:rPr>
      </w:pPr>
      <w:r>
        <w:rPr>
          <w:b/>
        </w:rPr>
      </w:r>
      <w:r>
        <mc:AlternateContent>
          <mc:Choice Requires="wps">
            <w:drawing>
              <wp:anchor behindDoc="0" distT="0" distB="0" distL="89535" distR="89535" simplePos="0" locked="0" layoutInCell="0" allowOverlap="1" relativeHeight="13">
                <wp:simplePos x="0" y="0"/>
                <wp:positionH relativeFrom="margin">
                  <wp:align>center</wp:align>
                </wp:positionH>
                <wp:positionV relativeFrom="page">
                  <wp:posOffset>683260</wp:posOffset>
                </wp:positionV>
                <wp:extent cx="10017760" cy="7560310"/>
                <wp:effectExtent l="0" t="0" r="0" b="0"/>
                <wp:wrapSquare wrapText="bothSides"/>
                <wp:docPr id="14" name="Ramka5"/>
                <a:graphic xmlns:a="http://schemas.openxmlformats.org/drawingml/2006/main">
                  <a:graphicData uri="http://schemas.microsoft.com/office/word/2010/wordprocessingShape">
                    <wps:wsp>
                      <wps:cNvSpPr txBox="1"/>
                      <wps:spPr>
                        <a:xfrm>
                          <a:off x="0" y="0"/>
                          <a:ext cx="10017760" cy="7560310"/>
                        </a:xfrm>
                        <a:prstGeom prst="rect"/>
                        <a:solidFill>
                          <a:srgbClr val="FFFFFF">
                            <a:alpha val="0"/>
                          </a:srgbClr>
                        </a:solidFill>
                      </wps:spPr>
                      <wps:txbx>
                        <w:txbxContent>
                          <w:tbl>
                            <w:tblPr>
                              <w:tblW w:w="15776" w:type="dxa"/>
                              <w:jc w:val="left"/>
                              <w:tblInd w:w="0" w:type="dxa"/>
                              <w:tblLayout w:type="fixed"/>
                              <w:tblCellMar>
                                <w:top w:w="0" w:type="dxa"/>
                                <w:left w:w="70" w:type="dxa"/>
                                <w:bottom w:w="0" w:type="dxa"/>
                                <w:right w:w="70" w:type="dxa"/>
                              </w:tblCellMar>
                            </w:tblPr>
                            <w:tblGrid>
                              <w:gridCol w:w="529"/>
                              <w:gridCol w:w="1244"/>
                              <w:gridCol w:w="802"/>
                              <w:gridCol w:w="685"/>
                              <w:gridCol w:w="995"/>
                              <w:gridCol w:w="2480"/>
                              <w:gridCol w:w="1111"/>
                              <w:gridCol w:w="1015"/>
                              <w:gridCol w:w="1663"/>
                              <w:gridCol w:w="5252"/>
                            </w:tblGrid>
                            <w:tr>
                              <w:trPr>
                                <w:trHeight w:val="240" w:hRule="atLeast"/>
                              </w:trPr>
                              <w:tc>
                                <w:tcPr>
                                  <w:tcW w:w="10524" w:type="dxa"/>
                                  <w:gridSpan w:val="9"/>
                                  <w:tcBorders>
                                    <w:bottom w:val="single" w:sz="8" w:space="0" w:color="000000"/>
                                  </w:tcBorders>
                                </w:tcPr>
                                <w:p>
                                  <w:pPr>
                                    <w:pStyle w:val="Normal"/>
                                    <w:snapToGrid w:val="false"/>
                                    <w:spacing w:lineRule="auto" w:line="240" w:before="0" w:after="0"/>
                                    <w:rPr>
                                      <w:b/>
                                      <w:b/>
                                      <w:i/>
                                      <w:i/>
                                      <w:iCs/>
                                    </w:rPr>
                                  </w:pPr>
                                  <w:r>
                                    <w:rPr>
                                      <w:b/>
                                      <w:i/>
                                      <w:iCs/>
                                    </w:rPr>
                                  </w:r>
                                </w:p>
                              </w:tc>
                              <w:tc>
                                <w:tcPr>
                                  <w:tcW w:w="5252" w:type="dxa"/>
                                  <w:tcBorders/>
                                  <w:tcMar>
                                    <w:left w:w="0" w:type="dxa"/>
                                    <w:right w:w="0" w:type="dxa"/>
                                  </w:tcMar>
                                </w:tcPr>
                                <w:p>
                                  <w:pPr>
                                    <w:pStyle w:val="Normal"/>
                                    <w:snapToGrid w:val="false"/>
                                    <w:spacing w:before="0" w:after="160"/>
                                    <w:rPr>
                                      <w:b/>
                                      <w:b/>
                                      <w:i/>
                                      <w:i/>
                                      <w:iCs/>
                                    </w:rPr>
                                  </w:pPr>
                                  <w:r>
                                    <w:rPr>
                                      <w:b/>
                                      <w:i/>
                                      <w:iCs/>
                                    </w:rPr>
                                  </w:r>
                                </w:p>
                              </w:tc>
                            </w:tr>
                            <w:tr>
                              <w:trPr>
                                <w:trHeight w:val="269"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1.0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1</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b/>
                                      <w:b/>
                                      <w:bCs/>
                                      <w:sz w:val="18"/>
                                      <w:szCs w:val="18"/>
                                    </w:rPr>
                                  </w:pPr>
                                  <w:r>
                                    <w:rPr>
                                      <w:rFonts w:cs="Arial"/>
                                      <w:b/>
                                      <w:sz w:val="18"/>
                                      <w:szCs w:val="18"/>
                                    </w:rPr>
                                    <w:t>Wsparcie rozwoju gospodarczego i konkurencyjności obszaru LSR do 2023 r.</w:t>
                                  </w:r>
                                </w:p>
                              </w:tc>
                            </w:tr>
                            <w:tr>
                              <w:trPr>
                                <w:trHeight w:val="274"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2.0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2</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Aktywizacja mieszkańców obszaru LSR i budowanie kapitału społecznego do 2023 r.</w:t>
                                  </w:r>
                                </w:p>
                              </w:tc>
                            </w:tr>
                            <w:tr>
                              <w:trPr>
                                <w:trHeight w:val="297"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3.0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3</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Wzmocnienie atrakcyjności obszaru LSR do 2023 r.</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1.1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1.1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b/>
                                      <w:b/>
                                      <w:bCs/>
                                      <w:i/>
                                      <w:i/>
                                      <w:iCs/>
                                      <w:sz w:val="18"/>
                                      <w:szCs w:val="18"/>
                                    </w:rPr>
                                  </w:pPr>
                                  <w:r>
                                    <w:rPr>
                                      <w:rFonts w:cs="Arial"/>
                                      <w:b/>
                                      <w:sz w:val="18"/>
                                      <w:szCs w:val="18"/>
                                    </w:rPr>
                                    <w:t>Rozwój przedsiębiorczości na obszarze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Aktywizacja i integracja mieszkańców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2.2</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Promocja zasobów lokalnych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3.1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3.1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pPr>
                                  <w:r>
                                    <w:rPr>
                                      <w:rFonts w:cs="Arial"/>
                                      <w:b/>
                                      <w:sz w:val="18"/>
                                      <w:szCs w:val="18"/>
                                    </w:rPr>
                                    <w:t>Rozbudowa i poprawa standardu infrastruktury turystycznej i rekreacyjnej na obszarze LSR do 2023 roku</w:t>
                                  </w:r>
                                </w:p>
                              </w:tc>
                            </w:tr>
                            <w:tr>
                              <w:trPr>
                                <w:trHeight w:val="765" w:hRule="atLeast"/>
                              </w:trPr>
                              <w:tc>
                                <w:tcPr>
                                  <w:tcW w:w="2575" w:type="dxa"/>
                                  <w:gridSpan w:val="3"/>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rFonts w:cs="Arial"/>
                                      <w:b/>
                                      <w:b/>
                                      <w:i/>
                                      <w:i/>
                                      <w:iCs/>
                                      <w:sz w:val="18"/>
                                      <w:szCs w:val="18"/>
                                    </w:rPr>
                                  </w:pPr>
                                  <w:r>
                                    <w:rPr>
                                      <w:rFonts w:cs="Arial"/>
                                      <w:b/>
                                      <w:i/>
                                      <w:iCs/>
                                      <w:sz w:val="18"/>
                                      <w:szCs w:val="18"/>
                                    </w:rPr>
                                  </w:r>
                                </w:p>
                              </w:tc>
                              <w:tc>
                                <w:tcPr>
                                  <w:tcW w:w="1680" w:type="dxa"/>
                                  <w:gridSpan w:val="2"/>
                                  <w:tcBorders>
                                    <w:top w:val="single" w:sz="4" w:space="0" w:color="000000"/>
                                    <w:left w:val="single" w:sz="8"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Wskaźniki oddziaływania dla celu ogólnego</w:t>
                                  </w:r>
                                </w:p>
                              </w:tc>
                              <w:tc>
                                <w:tcPr>
                                  <w:tcW w:w="2480"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stan początkowy 2013 rok</w:t>
                                  </w:r>
                                </w:p>
                              </w:tc>
                              <w:tc>
                                <w:tcPr>
                                  <w:tcW w:w="1015" w:type="dxa"/>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00"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W1.0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podmiotów gospodarczych wpisanych do rejestru REGON na 1000 ludności</w:t>
                                  </w:r>
                                </w:p>
                                <w:p>
                                  <w:pPr>
                                    <w:pStyle w:val="Normal"/>
                                    <w:spacing w:lineRule="auto" w:line="240" w:before="0" w:after="0"/>
                                    <w:jc w:val="center"/>
                                    <w:rPr>
                                      <w:sz w:val="18"/>
                                      <w:szCs w:val="18"/>
                                    </w:rPr>
                                  </w:pPr>
                                  <w:r>
                                    <w:rPr>
                                      <w:sz w:val="18"/>
                                      <w:szCs w:val="18"/>
                                    </w:rPr>
                                    <w:t> </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 </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88</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89</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gospodarki narodowej – wskaźniki: podmioty wpisane do rejestru REGON na 1000 ludności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fundacji, stowarzyszeń i organizacji społecznych na 10 tys. mieszkańców</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25</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26</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gospodarski narodowej – wskaźniki, fundacje, stowarzyszenia i organizacje społeczne na 10 tys. mieszkańców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W3.0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Saldo migracji na 1000 osób (ogółem)</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-5,1</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-4,5</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ludność: saldo migracji na 1000 osób (ogółem). Dane dla powiatu łobeskiego. </w:t>
                                  </w:r>
                                </w:p>
                              </w:tc>
                            </w:tr>
                            <w:tr>
                              <w:trPr>
                                <w:trHeight w:val="630" w:hRule="atLeast"/>
                              </w:trPr>
                              <w:tc>
                                <w:tcPr>
                                  <w:tcW w:w="1773" w:type="dxa"/>
                                  <w:gridSpan w:val="2"/>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i/>
                                      <w:i/>
                                      <w:iCs/>
                                      <w:sz w:val="18"/>
                                      <w:szCs w:val="18"/>
                                    </w:rPr>
                                  </w:pPr>
                                  <w:r>
                                    <w:rPr>
                                      <w:i/>
                                      <w:iCs/>
                                      <w:sz w:val="18"/>
                                      <w:szCs w:val="18"/>
                                    </w:rPr>
                                  </w:r>
                                </w:p>
                              </w:tc>
                              <w:tc>
                                <w:tcPr>
                                  <w:tcW w:w="2482" w:type="dxa"/>
                                  <w:gridSpan w:val="3"/>
                                  <w:tcBorders>
                                    <w:top w:val="single" w:sz="4" w:space="0" w:color="000000"/>
                                    <w:left w:val="single" w:sz="8"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Wskaźniki rezultatu dla celów szczegółowych</w:t>
                                  </w:r>
                                </w:p>
                              </w:tc>
                              <w:tc>
                                <w:tcPr>
                                  <w:tcW w:w="2480"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stan początkowy 2014 rok</w:t>
                                  </w:r>
                                </w:p>
                              </w:tc>
                              <w:tc>
                                <w:tcPr>
                                  <w:tcW w:w="1015" w:type="dxa"/>
                                  <w:tcBorders>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w1.1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 xml:space="preserve">Liczba utworzonych miejsc pracy </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33 </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utrzymanych miejsc pracy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27</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Dane własne LGD, dane przekazane przez beneficjentów ( informacja po realizacji operacji)</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w2.1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obiektów infrastruktury społecznej służącej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15.000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publikacji służących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5.000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 xml:space="preserve">Dane własne LGD, ankiety monitorujące od beneficjentów pomocy, sprawozdania/wnioski o płatność,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oceniających szkolenia jako adekwatne do oczekiwań</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70</w:t>
                                  </w:r>
                                </w:p>
                              </w:tc>
                              <w:tc>
                                <w:tcPr>
                                  <w:tcW w:w="6915" w:type="dxa"/>
                                  <w:gridSpan w:val="2"/>
                                  <w:tcBorders>
                                    <w:top w:val="single" w:sz="4" w:space="0" w:color="000000"/>
                                    <w:bottom w:val="single" w:sz="4" w:space="0" w:color="000000"/>
                                    <w:right w:val="single" w:sz="8" w:space="0" w:color="000000"/>
                                  </w:tcBorders>
                                </w:tcPr>
                                <w:p>
                                  <w:pPr>
                                    <w:pStyle w:val="Normal"/>
                                    <w:spacing w:before="0" w:after="160"/>
                                    <w:rPr>
                                      <w:sz w:val="18"/>
                                      <w:szCs w:val="18"/>
                                    </w:rPr>
                                  </w:pPr>
                                  <w:r>
                                    <w:rPr>
                                      <w:sz w:val="18"/>
                                      <w:szCs w:val="18"/>
                                    </w:rPr>
                                    <w:t>Ankiety poszkoleniowe oceniające szkolenie, zbiorcze podsumowanie szkoleń, dane przekazane przez beneficjentów pomocy (sprawozdania/ wnioski o płatność)</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96</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utworzonych miejsc pracy w biurze LGD w przeliczeniu na pełne etaty średnioroczne</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osób uczestniczących w spotkaniach/wydarzeniach adresowanych do mieszkańców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1.600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zadowolonych ze spotkań przeprowadzonych przez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1.400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wydanych, opracowanych publikacji i materiałów informacyjno-promocyjnych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21.800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uczestników wydarzeń promocyjnych, na których promowano działalność LGD i obszar LSR</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7.200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Liczba projektów współpracy wykorzystujących lokalne zasoby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projektów współpracy skierowanych do grup docelowych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biorących udział w procesie przygotowania koncepcji SV</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250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Sprawozdanie grantobiorcy, listy obecności ze spotkań</w:t>
                                  </w:r>
                                </w:p>
                              </w:tc>
                            </w:tr>
                            <w:tr>
                              <w:trPr>
                                <w:trHeight w:val="22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w2.2</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odbiorców działań informacyjnych i promocyjnych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16.000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trPr>
                                <w:trHeight w:val="878"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w3.1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nowych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878"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przebudowanych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225" w:hRule="atLeast"/>
                              </w:trPr>
                              <w:tc>
                                <w:tcPr>
                                  <w:tcW w:w="1773" w:type="dxa"/>
                                  <w:gridSpan w:val="2"/>
                                  <w:vMerge w:val="restart"/>
                                  <w:tcBorders>
                                    <w:top w:val="single" w:sz="4" w:space="0" w:color="000000"/>
                                    <w:left w:val="single" w:sz="8"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Przedsięwzięcia</w:t>
                                  </w:r>
                                </w:p>
                              </w:tc>
                              <w:tc>
                                <w:tcPr>
                                  <w:tcW w:w="1487" w:type="dxa"/>
                                  <w:gridSpan w:val="2"/>
                                  <w:vMerge w:val="restart"/>
                                  <w:tcBorders>
                                    <w:top w:val="single" w:sz="4" w:space="0" w:color="000000"/>
                                    <w:left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Grupy docelowe</w:t>
                                  </w:r>
                                </w:p>
                              </w:tc>
                              <w:tc>
                                <w:tcPr>
                                  <w:tcW w:w="995"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rFonts w:cs="Calibri"/>
                                      <w:color w:val="000000"/>
                                      <w:sz w:val="18"/>
                                      <w:szCs w:val="18"/>
                                    </w:rPr>
                                    <w:t xml:space="preserve"> </w:t>
                                  </w:r>
                                  <w:r>
                                    <w:rPr>
                                      <w:color w:val="000000"/>
                                      <w:sz w:val="18"/>
                                      <w:szCs w:val="18"/>
                                    </w:rPr>
                                    <w:t xml:space="preserve">Sposób realizacji </w:t>
                                  </w:r>
                                </w:p>
                              </w:tc>
                              <w:tc>
                                <w:tcPr>
                                  <w:tcW w:w="11521" w:type="dxa"/>
                                  <w:gridSpan w:val="5"/>
                                  <w:tcBorders>
                                    <w:top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Wskaźniki produktu</w:t>
                                  </w:r>
                                </w:p>
                              </w:tc>
                            </w:tr>
                            <w:tr>
                              <w:trPr>
                                <w:trHeight w:val="225"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nazwa</w:t>
                                  </w:r>
                                </w:p>
                              </w:tc>
                              <w:tc>
                                <w:tcPr>
                                  <w:tcW w:w="1111" w:type="dxa"/>
                                  <w:vMerge w:val="restart"/>
                                  <w:tcBorders>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sz w:val="18"/>
                                      <w:szCs w:val="18"/>
                                    </w:rPr>
                                  </w:pPr>
                                  <w:r>
                                    <w:rPr>
                                      <w:sz w:val="18"/>
                                      <w:szCs w:val="18"/>
                                    </w:rPr>
                                    <w:t xml:space="preserve">Jednostka miary </w:t>
                                  </w:r>
                                </w:p>
                              </w:tc>
                              <w:tc>
                                <w:tcPr>
                                  <w:tcW w:w="2678" w:type="dxa"/>
                                  <w:gridSpan w:val="2"/>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Wartość</w:t>
                                  </w:r>
                                </w:p>
                              </w:tc>
                              <w:tc>
                                <w:tcPr>
                                  <w:tcW w:w="5252" w:type="dxa"/>
                                  <w:vMerge w:val="restart"/>
                                  <w:tcBorders>
                                    <w:top w:val="single" w:sz="4" w:space="0" w:color="000000"/>
                                    <w:left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Źródło danych/sposób pomiaru</w:t>
                                  </w:r>
                                </w:p>
                              </w:tc>
                            </w:tr>
                            <w:tr>
                              <w:trPr>
                                <w:trHeight w:val="497"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111" w:type="dxa"/>
                                  <w:vMerge w:val="continue"/>
                                  <w:tcBorders>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015"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początkowa </w:t>
                                  </w:r>
                                </w:p>
                                <w:p>
                                  <w:pPr>
                                    <w:pStyle w:val="Normal"/>
                                    <w:spacing w:lineRule="auto" w:line="240" w:before="0" w:after="0"/>
                                    <w:jc w:val="center"/>
                                    <w:rPr>
                                      <w:color w:val="000000"/>
                                      <w:sz w:val="18"/>
                                      <w:szCs w:val="18"/>
                                    </w:rPr>
                                  </w:pPr>
                                  <w:r>
                                    <w:rPr>
                                      <w:color w:val="000000"/>
                                      <w:sz w:val="18"/>
                                      <w:szCs w:val="18"/>
                                    </w:rPr>
                                    <w:t>2014 rok</w:t>
                                  </w:r>
                                </w:p>
                              </w:tc>
                              <w:tc>
                                <w:tcPr>
                                  <w:tcW w:w="1663"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końcowa </w:t>
                                  </w:r>
                                </w:p>
                                <w:p>
                                  <w:pPr>
                                    <w:pStyle w:val="Normal"/>
                                    <w:spacing w:lineRule="auto" w:line="240" w:before="0" w:after="0"/>
                                    <w:jc w:val="center"/>
                                    <w:rPr>
                                      <w:color w:val="000000"/>
                                      <w:sz w:val="18"/>
                                      <w:szCs w:val="18"/>
                                    </w:rPr>
                                  </w:pPr>
                                  <w:r>
                                    <w:rPr>
                                      <w:color w:val="000000"/>
                                      <w:sz w:val="18"/>
                                      <w:szCs w:val="18"/>
                                    </w:rPr>
                                    <w:t>2023 rok</w:t>
                                  </w:r>
                                </w:p>
                              </w:tc>
                              <w:tc>
                                <w:tcPr>
                                  <w:tcW w:w="5252" w:type="dxa"/>
                                  <w:vMerge w:val="continue"/>
                                  <w:tcBorders>
                                    <w:top w:val="single" w:sz="4" w:space="0" w:color="000000"/>
                                    <w:left w:val="single" w:sz="4" w:space="0" w:color="000000"/>
                                    <w:bottom w:val="single" w:sz="4" w:space="0" w:color="000000"/>
                                    <w:right w:val="single" w:sz="8"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r>
                            <w:tr>
                              <w:trPr>
                                <w:trHeight w:val="184"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Zakładanie działalności gospodarczej</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osoby/podmioty planujące rozpoczęcie działalności gospodarczej</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 – premia ryczałtowa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Liczba zrealizowanych operacji polegających na utworzeniu nowego przedsiębiorstwa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napToGrid w:val="false"/>
                                    <w:spacing w:lineRule="auto" w:line="240" w:before="0" w:after="0"/>
                                    <w:rPr>
                                      <w:strike/>
                                      <w:color w:val="000000"/>
                                      <w:sz w:val="18"/>
                                      <w:szCs w:val="18"/>
                                    </w:rPr>
                                  </w:pPr>
                                  <w:r>
                                    <w:rPr>
                                      <w:strike/>
                                      <w:color w:val="000000"/>
                                      <w:sz w:val="18"/>
                                      <w:szCs w:val="18"/>
                                    </w:rPr>
                                  </w:r>
                                </w:p>
                                <w:p>
                                  <w:pPr>
                                    <w:pStyle w:val="Normal"/>
                                    <w:spacing w:lineRule="auto" w:line="240" w:before="0" w:after="0"/>
                                    <w:jc w:val="center"/>
                                    <w:rPr>
                                      <w:sz w:val="18"/>
                                      <w:szCs w:val="18"/>
                                    </w:rPr>
                                  </w:pPr>
                                  <w:r>
                                    <w:rPr>
                                      <w:sz w:val="18"/>
                                      <w:szCs w:val="18"/>
                                    </w:rPr>
                                    <w:t>25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ankiety monitorujące od beneficjentów pomocy, sprawozdania, </w:t>
                                  </w:r>
                                </w:p>
                              </w:tc>
                            </w:tr>
                            <w:tr>
                              <w:trPr>
                                <w:trHeight w:val="184"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 xml:space="preserve">Rozwój działalności gospodarczej </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Przedsiębiorcy</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liczbazrealizowanych operacji polegających na rozwoju istniejącego przedsiębiorstwa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8</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Działania aktywizujące i integrujące mieszkańców</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wspartych operacji dotyczących inicjatyw w zakresie rozwoju infrastruktury społecznej służącej aktywizacji i integracji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w:t>
                                  </w:r>
                                </w:p>
                                <w:p>
                                  <w:pPr>
                                    <w:pStyle w:val="Normal"/>
                                    <w:spacing w:lineRule="auto" w:line="240" w:before="0" w:after="0"/>
                                    <w:jc w:val="center"/>
                                    <w:rPr>
                                      <w:color w:val="FF0000"/>
                                      <w:sz w:val="18"/>
                                      <w:szCs w:val="18"/>
                                    </w:rPr>
                                  </w:pPr>
                                  <w:r>
                                    <w:rPr>
                                      <w:color w:val="FF0000"/>
                                      <w:sz w:val="18"/>
                                      <w:szCs w:val="18"/>
                                    </w:rPr>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operacji dotyczących publikacji służących  aktywizacji i integracji mieszkańców</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vertAlign w:val="superscript"/>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Funkcjonowanie LGD</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Koszty bieżące, aktywizacja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osobodni szkoleń dla pracowników i organów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Osobodzień</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214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zaświadczenia/ certyfikacy poświadczające udział w szkoleniu</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podmiotów, którym udzielono indywidualnego doradztwa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podmioty</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110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 ewidencja doradztwa (np. karta doradztwa)</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spotkań/ wydarzeń adresowanych do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80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ind w:left="58" w:hanging="0"/>
                                    <w:jc w:val="center"/>
                                    <w:textAlignment w:val="baseline"/>
                                    <w:rPr>
                                      <w:rFonts w:eastAsia="Lucida Grande;Times New Roman" w:cs="Arial"/>
                                      <w:kern w:val="2"/>
                                      <w:sz w:val="18"/>
                                      <w:szCs w:val="18"/>
                                      <w:lang w:eastAsia="pl-PL"/>
                                    </w:rPr>
                                  </w:pPr>
                                  <w:r>
                                    <w:rPr>
                                      <w:rFonts w:eastAsia="Lucida Grande;Times New Roman" w:cs="Arial"/>
                                      <w:kern w:val="2"/>
                                      <w:sz w:val="18"/>
                                      <w:szCs w:val="18"/>
                                      <w:lang w:eastAsia="pl-PL"/>
                                    </w:rPr>
                                    <w:t>Liczba wydanych, opracowanych publikacji i materiałów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35</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rFonts w:eastAsia="Lucida Grande;Times New Roman" w:cs="Arial"/>
                                      <w:kern w:val="2"/>
                                      <w:sz w:val="18"/>
                                      <w:szCs w:val="18"/>
                                      <w:lang w:eastAsia="pl-PL"/>
                                    </w:rPr>
                                    <w:t>Liczba wydarzeń promocyjnych, na których promowano działalność LGD i obszar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16</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odwiedzin strony internetowej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br/>
                                    <w:t>48.000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2.1.3</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Projekty współpracy</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Projekty współpracy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projektów współpracy</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LGD uczestniczących w projektach współpracy, finansowanych w ramach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trike/>
                                      <w:sz w:val="18"/>
                                      <w:szCs w:val="18"/>
                                      <w:highlight w:val="yellow"/>
                                    </w:rPr>
                                  </w:pPr>
                                  <w:r>
                                    <w:rPr>
                                      <w:sz w:val="18"/>
                                      <w:szCs w:val="18"/>
                                    </w:rPr>
                                    <w:t>13</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159" w:hRule="atLeast"/>
                              </w:trPr>
                              <w:tc>
                                <w:tcPr>
                                  <w:tcW w:w="529" w:type="dxa"/>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2.1.4</w:t>
                                  </w:r>
                                </w:p>
                              </w:tc>
                              <w:tc>
                                <w:tcPr>
                                  <w:tcW w:w="1244" w:type="dxa"/>
                                  <w:tcBorders>
                                    <w:top w:val="single" w:sz="4" w:space="0" w:color="000000"/>
                                    <w:right w:val="single" w:sz="4" w:space="0" w:color="000000"/>
                                  </w:tcBorders>
                                </w:tcPr>
                                <w:p>
                                  <w:pPr>
                                    <w:pStyle w:val="Normal"/>
                                    <w:spacing w:lineRule="auto" w:line="240" w:before="60" w:after="0"/>
                                    <w:rPr>
                                      <w:rFonts w:cs="Arial"/>
                                      <w:sz w:val="18"/>
                                      <w:szCs w:val="18"/>
                                    </w:rPr>
                                  </w:pPr>
                                  <w:r>
                                    <w:rPr>
                                      <w:sz w:val="18"/>
                                      <w:szCs w:val="18"/>
                                    </w:rPr>
                                    <w:t>Oddolne koncepcje rozwoju w skali mikro (Smart Village)</w:t>
                                  </w:r>
                                </w:p>
                              </w:tc>
                              <w:tc>
                                <w:tcPr>
                                  <w:tcW w:w="1487" w:type="dxa"/>
                                  <w:gridSpan w:val="2"/>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pPr>
                                  <w:r>
                                    <w:rPr>
                                      <w:sz w:val="18"/>
                                      <w:szCs w:val="18"/>
                                    </w:rPr>
                                    <w:t>Liczba opracowanych koncepcji SV</w:t>
                                  </w:r>
                                </w:p>
                              </w:tc>
                              <w:tc>
                                <w:tcPr>
                                  <w:tcW w:w="1111"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25</w:t>
                                  </w:r>
                                </w:p>
                              </w:tc>
                              <w:tc>
                                <w:tcPr>
                                  <w:tcW w:w="5252"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Sprawozdania grantobiorców</w:t>
                                  </w:r>
                                </w:p>
                              </w:tc>
                            </w:tr>
                            <w:tr>
                              <w:trPr>
                                <w:trHeight w:val="130"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2.2.1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Promocja i informacja</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wspartych operacji dotyczących działań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color w:val="000000"/>
                                      <w:sz w:val="18"/>
                                      <w:szCs w:val="18"/>
                                    </w:rPr>
                                  </w:pPr>
                                  <w:r>
                                    <w:rPr>
                                      <w:color w:val="000000"/>
                                      <w:sz w:val="18"/>
                                      <w:szCs w:val="18"/>
                                    </w:rPr>
                                    <w:t>100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3.1.2</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480" w:hRule="atLeast"/>
                              </w:trPr>
                              <w:tc>
                                <w:tcPr>
                                  <w:tcW w:w="1773" w:type="dxa"/>
                                  <w:gridSpan w:val="2"/>
                                  <w:tcBorders>
                                    <w:top w:val="single" w:sz="4" w:space="0" w:color="000000"/>
                                    <w:left w:val="single" w:sz="8" w:space="0" w:color="000000"/>
                                    <w:bottom w:val="single" w:sz="8" w:space="0" w:color="000000"/>
                                    <w:right w:val="single" w:sz="4" w:space="0" w:color="000000"/>
                                  </w:tcBorders>
                                  <w:shd w:fill="F79443" w:val="clear"/>
                                  <w:vAlign w:val="center"/>
                                </w:tcPr>
                                <w:p>
                                  <w:pPr>
                                    <w:pStyle w:val="Normal"/>
                                    <w:spacing w:lineRule="auto" w:line="240" w:before="0" w:after="0"/>
                                    <w:jc w:val="center"/>
                                    <w:rPr>
                                      <w:sz w:val="18"/>
                                      <w:szCs w:val="18"/>
                                    </w:rPr>
                                  </w:pPr>
                                  <w:r>
                                    <w:rPr>
                                      <w:sz w:val="18"/>
                                      <w:szCs w:val="18"/>
                                    </w:rPr>
                                    <w:t>SUMA</w:t>
                                  </w:r>
                                </w:p>
                              </w:tc>
                              <w:tc>
                                <w:tcPr>
                                  <w:tcW w:w="1487" w:type="dxa"/>
                                  <w:gridSpan w:val="2"/>
                                  <w:tcBorders>
                                    <w:top w:val="single" w:sz="4" w:space="0" w:color="000000"/>
                                    <w:bottom w:val="single" w:sz="8" w:space="0" w:color="000000"/>
                                    <w:right w:val="single" w:sz="4" w:space="0" w:color="000000"/>
                                  </w:tcBorders>
                                  <w:shd w:fill="F79443" w:val="clear"/>
                                  <w:vAlign w:val="center"/>
                                </w:tcPr>
                                <w:p>
                                  <w:pPr>
                                    <w:pStyle w:val="Normal"/>
                                    <w:snapToGrid w:val="false"/>
                                    <w:spacing w:lineRule="auto" w:line="240" w:before="0" w:after="0"/>
                                    <w:jc w:val="center"/>
                                    <w:rPr>
                                      <w:b/>
                                      <w:b/>
                                      <w:bCs/>
                                      <w:sz w:val="18"/>
                                      <w:szCs w:val="18"/>
                                    </w:rPr>
                                  </w:pPr>
                                  <w:r>
                                    <w:rPr>
                                      <w:b/>
                                      <w:bCs/>
                                      <w:sz w:val="18"/>
                                      <w:szCs w:val="18"/>
                                    </w:rPr>
                                  </w:r>
                                </w:p>
                              </w:tc>
                              <w:tc>
                                <w:tcPr>
                                  <w:tcW w:w="995" w:type="dxa"/>
                                  <w:tcBorders>
                                    <w:top w:val="single" w:sz="4" w:space="0" w:color="000000"/>
                                    <w:bottom w:val="single" w:sz="8" w:space="0" w:color="000000"/>
                                    <w:right w:val="single" w:sz="4" w:space="0" w:color="000000"/>
                                  </w:tcBorders>
                                  <w:shd w:fill="F79443" w:val="clear"/>
                                  <w:vAlign w:val="center"/>
                                </w:tcPr>
                                <w:p>
                                  <w:pPr>
                                    <w:pStyle w:val="Normal"/>
                                    <w:spacing w:lineRule="auto" w:line="240" w:before="0" w:after="0"/>
                                    <w:jc w:val="center"/>
                                    <w:rPr>
                                      <w:b/>
                                      <w:b/>
                                      <w:bCs/>
                                      <w:sz w:val="18"/>
                                      <w:szCs w:val="18"/>
                                    </w:rPr>
                                  </w:pPr>
                                  <w:r>
                                    <w:rPr>
                                      <w:b/>
                                      <w:bCs/>
                                      <w:sz w:val="18"/>
                                      <w:szCs w:val="18"/>
                                    </w:rPr>
                                    <w:t> </w:t>
                                  </w:r>
                                </w:p>
                              </w:tc>
                              <w:tc>
                                <w:tcPr>
                                  <w:tcW w:w="11521" w:type="dxa"/>
                                  <w:gridSpan w:val="5"/>
                                  <w:tcBorders>
                                    <w:top w:val="single" w:sz="4" w:space="0" w:color="000000"/>
                                    <w:bottom w:val="single" w:sz="8" w:space="0" w:color="000000"/>
                                    <w:right w:val="single" w:sz="8" w:space="0" w:color="000000"/>
                                  </w:tcBorders>
                                  <w:vAlign w:val="center"/>
                                </w:tcPr>
                                <w:p>
                                  <w:pPr>
                                    <w:pStyle w:val="Normal"/>
                                    <w:spacing w:lineRule="auto" w:line="240" w:before="0" w:after="0"/>
                                    <w:jc w:val="center"/>
                                    <w:rPr>
                                      <w:sz w:val="18"/>
                                      <w:szCs w:val="18"/>
                                    </w:rPr>
                                  </w:pPr>
                                  <w:r>
                                    <w:rPr>
                                      <w:sz w:val="18"/>
                                      <w:szCs w:val="18"/>
                                    </w:rPr>
                                    <w:t> </w:t>
                                  </w:r>
                                </w:p>
                              </w:tc>
                            </w:tr>
                          </w:tbl>
                        </w:txbxContent>
                      </wps:txbx>
                      <wps:bodyPr anchor="t" lIns="0" tIns="0" rIns="0" bIns="0">
                        <a:noAutofit/>
                      </wps:bodyPr>
                    </wps:wsp>
                  </a:graphicData>
                </a:graphic>
              </wp:anchor>
            </w:drawing>
          </mc:Choice>
          <mc:Fallback>
            <w:pict>
              <v:rect fillcolor="#FFFFFF" style="position:absolute;rotation:0;width:788.8pt;height:595.3pt;mso-wrap-distance-left:7.05pt;mso-wrap-distance-right:7.05pt;mso-wrap-distance-top:0pt;mso-wrap-distance-bottom:0pt;margin-top:53.8pt;mso-position-vertical-relative:page;margin-left:-1.8pt;mso-position-horizontal:center;mso-position-horizontal-relative:margin">
                <v:fill opacity="0f"/>
                <v:textbox inset="0in,0in,0in,0in">
                  <w:txbxContent>
                    <w:tbl>
                      <w:tblPr>
                        <w:tblW w:w="15776" w:type="dxa"/>
                        <w:jc w:val="left"/>
                        <w:tblInd w:w="0" w:type="dxa"/>
                        <w:tblLayout w:type="fixed"/>
                        <w:tblCellMar>
                          <w:top w:w="0" w:type="dxa"/>
                          <w:left w:w="70" w:type="dxa"/>
                          <w:bottom w:w="0" w:type="dxa"/>
                          <w:right w:w="70" w:type="dxa"/>
                        </w:tblCellMar>
                      </w:tblPr>
                      <w:tblGrid>
                        <w:gridCol w:w="529"/>
                        <w:gridCol w:w="1244"/>
                        <w:gridCol w:w="802"/>
                        <w:gridCol w:w="685"/>
                        <w:gridCol w:w="995"/>
                        <w:gridCol w:w="2480"/>
                        <w:gridCol w:w="1111"/>
                        <w:gridCol w:w="1015"/>
                        <w:gridCol w:w="1663"/>
                        <w:gridCol w:w="5252"/>
                      </w:tblGrid>
                      <w:tr>
                        <w:trPr>
                          <w:trHeight w:val="240" w:hRule="atLeast"/>
                        </w:trPr>
                        <w:tc>
                          <w:tcPr>
                            <w:tcW w:w="10524" w:type="dxa"/>
                            <w:gridSpan w:val="9"/>
                            <w:tcBorders>
                              <w:bottom w:val="single" w:sz="8" w:space="0" w:color="000000"/>
                            </w:tcBorders>
                          </w:tcPr>
                          <w:p>
                            <w:pPr>
                              <w:pStyle w:val="Normal"/>
                              <w:snapToGrid w:val="false"/>
                              <w:spacing w:lineRule="auto" w:line="240" w:before="0" w:after="0"/>
                              <w:rPr>
                                <w:b/>
                                <w:b/>
                                <w:i/>
                                <w:i/>
                                <w:iCs/>
                              </w:rPr>
                            </w:pPr>
                            <w:r>
                              <w:rPr>
                                <w:b/>
                                <w:i/>
                                <w:iCs/>
                              </w:rPr>
                            </w:r>
                          </w:p>
                        </w:tc>
                        <w:tc>
                          <w:tcPr>
                            <w:tcW w:w="5252" w:type="dxa"/>
                            <w:tcBorders/>
                            <w:tcMar>
                              <w:left w:w="0" w:type="dxa"/>
                              <w:right w:w="0" w:type="dxa"/>
                            </w:tcMar>
                          </w:tcPr>
                          <w:p>
                            <w:pPr>
                              <w:pStyle w:val="Normal"/>
                              <w:snapToGrid w:val="false"/>
                              <w:spacing w:before="0" w:after="160"/>
                              <w:rPr>
                                <w:b/>
                                <w:b/>
                                <w:i/>
                                <w:i/>
                                <w:iCs/>
                              </w:rPr>
                            </w:pPr>
                            <w:r>
                              <w:rPr>
                                <w:b/>
                                <w:i/>
                                <w:iCs/>
                              </w:rPr>
                            </w:r>
                          </w:p>
                        </w:tc>
                      </w:tr>
                      <w:tr>
                        <w:trPr>
                          <w:trHeight w:val="269"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1.0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1</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b/>
                                <w:b/>
                                <w:bCs/>
                                <w:sz w:val="18"/>
                                <w:szCs w:val="18"/>
                              </w:rPr>
                            </w:pPr>
                            <w:r>
                              <w:rPr>
                                <w:rFonts w:cs="Arial"/>
                                <w:b/>
                                <w:sz w:val="18"/>
                                <w:szCs w:val="18"/>
                              </w:rPr>
                              <w:t>Wsparcie rozwoju gospodarczego i konkurencyjności obszaru LSR do 2023 r.</w:t>
                            </w:r>
                          </w:p>
                        </w:tc>
                      </w:tr>
                      <w:tr>
                        <w:trPr>
                          <w:trHeight w:val="274"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2.0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2</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Aktywizacja mieszkańców obszaru LSR i budowanie kapitału społecznego do 2023 r.</w:t>
                            </w:r>
                          </w:p>
                        </w:tc>
                      </w:tr>
                      <w:tr>
                        <w:trPr>
                          <w:trHeight w:val="297" w:hRule="atLeast"/>
                        </w:trPr>
                        <w:tc>
                          <w:tcPr>
                            <w:tcW w:w="529" w:type="dxa"/>
                            <w:tcBorders>
                              <w:left w:val="single" w:sz="8" w:space="0" w:color="000000"/>
                              <w:bottom w:val="single" w:sz="4" w:space="0" w:color="000000"/>
                              <w:right w:val="single" w:sz="4" w:space="0" w:color="000000"/>
                            </w:tcBorders>
                            <w:shd w:fill="FFFF00" w:val="clear"/>
                            <w:vAlign w:val="center"/>
                          </w:tcPr>
                          <w:p>
                            <w:pPr>
                              <w:pStyle w:val="Normal"/>
                              <w:spacing w:lineRule="auto" w:line="240" w:before="0" w:after="0"/>
                              <w:ind w:right="45" w:hanging="0"/>
                              <w:rPr>
                                <w:sz w:val="18"/>
                                <w:szCs w:val="18"/>
                              </w:rPr>
                            </w:pPr>
                            <w:r>
                              <w:rPr>
                                <w:sz w:val="18"/>
                                <w:szCs w:val="18"/>
                              </w:rPr>
                              <w:t>3.0</w:t>
                            </w:r>
                          </w:p>
                        </w:tc>
                        <w:tc>
                          <w:tcPr>
                            <w:tcW w:w="2046" w:type="dxa"/>
                            <w:gridSpan w:val="2"/>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CEL OGÓLNY 3</w:t>
                            </w:r>
                          </w:p>
                        </w:tc>
                        <w:tc>
                          <w:tcPr>
                            <w:tcW w:w="13201" w:type="dxa"/>
                            <w:gridSpan w:val="7"/>
                            <w:tcBorders>
                              <w:top w:val="single" w:sz="8" w:space="0" w:color="000000"/>
                              <w:bottom w:val="single" w:sz="4" w:space="0" w:color="000000"/>
                              <w:right w:val="single" w:sz="8" w:space="0" w:color="000000"/>
                            </w:tcBorders>
                            <w:shd w:fill="FFFF00" w:val="clear"/>
                          </w:tcPr>
                          <w:p>
                            <w:pPr>
                              <w:pStyle w:val="Normal"/>
                              <w:spacing w:lineRule="auto" w:line="240" w:before="0" w:after="0"/>
                              <w:jc w:val="center"/>
                              <w:rPr>
                                <w:rFonts w:cs="Arial"/>
                                <w:b/>
                                <w:b/>
                                <w:sz w:val="18"/>
                                <w:szCs w:val="18"/>
                              </w:rPr>
                            </w:pPr>
                            <w:r>
                              <w:rPr>
                                <w:rFonts w:cs="Arial"/>
                                <w:b/>
                                <w:sz w:val="18"/>
                                <w:szCs w:val="18"/>
                              </w:rPr>
                              <w:t>Wzmocnienie atrakcyjności obszaru LSR do 2023 r.</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1.1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1.1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b/>
                                <w:b/>
                                <w:bCs/>
                                <w:i/>
                                <w:i/>
                                <w:iCs/>
                                <w:sz w:val="18"/>
                                <w:szCs w:val="18"/>
                              </w:rPr>
                            </w:pPr>
                            <w:r>
                              <w:rPr>
                                <w:rFonts w:cs="Arial"/>
                                <w:b/>
                                <w:sz w:val="18"/>
                                <w:szCs w:val="18"/>
                              </w:rPr>
                              <w:t>Rozwój przedsiębiorczości na obszarze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Aktywizacja i integracja mieszkańców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2.1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2.2</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rFonts w:cs="Arial"/>
                                <w:b/>
                                <w:b/>
                                <w:sz w:val="18"/>
                                <w:szCs w:val="18"/>
                              </w:rPr>
                            </w:pPr>
                            <w:r>
                              <w:rPr>
                                <w:rFonts w:cs="Arial"/>
                                <w:b/>
                                <w:sz w:val="18"/>
                                <w:szCs w:val="18"/>
                              </w:rPr>
                              <w:t>Promocja zasobów lokalnych obszaru LSR do 2023 roku</w:t>
                            </w:r>
                          </w:p>
                        </w:tc>
                      </w:tr>
                      <w:tr>
                        <w:trPr>
                          <w:trHeight w:val="270" w:hRule="atLeast"/>
                        </w:trPr>
                        <w:tc>
                          <w:tcPr>
                            <w:tcW w:w="529" w:type="dxa"/>
                            <w:tcBorders>
                              <w:left w:val="single" w:sz="8" w:space="0" w:color="000000"/>
                              <w:bottom w:val="single" w:sz="4" w:space="0" w:color="000000"/>
                              <w:right w:val="single" w:sz="4" w:space="0" w:color="000000"/>
                            </w:tcBorders>
                            <w:shd w:fill="FFFFCC" w:val="clear"/>
                            <w:vAlign w:val="center"/>
                          </w:tcPr>
                          <w:p>
                            <w:pPr>
                              <w:pStyle w:val="Normal"/>
                              <w:spacing w:lineRule="auto" w:line="240" w:before="0" w:after="0"/>
                              <w:rPr>
                                <w:sz w:val="18"/>
                                <w:szCs w:val="18"/>
                              </w:rPr>
                            </w:pPr>
                            <w:r>
                              <w:rPr>
                                <w:sz w:val="18"/>
                                <w:szCs w:val="18"/>
                              </w:rPr>
                              <w:t>3.1</w:t>
                            </w:r>
                          </w:p>
                        </w:tc>
                        <w:tc>
                          <w:tcPr>
                            <w:tcW w:w="2046" w:type="dxa"/>
                            <w:gridSpan w:val="2"/>
                            <w:tcBorders>
                              <w:left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CEL SZCZEGÓŁOWY 3.1</w:t>
                            </w:r>
                          </w:p>
                        </w:tc>
                        <w:tc>
                          <w:tcPr>
                            <w:tcW w:w="685" w:type="dxa"/>
                            <w:tcBorders>
                              <w:top w:val="single" w:sz="4" w:space="0" w:color="000000"/>
                              <w:bottom w:val="single" w:sz="4" w:space="0" w:color="000000"/>
                            </w:tcBorders>
                            <w:shd w:fill="FFFFCC" w:val="clear"/>
                          </w:tcPr>
                          <w:p>
                            <w:pPr>
                              <w:pStyle w:val="Normal"/>
                              <w:snapToGrid w:val="false"/>
                              <w:spacing w:lineRule="auto" w:line="240" w:before="0" w:after="0"/>
                              <w:rPr>
                                <w:b/>
                                <w:b/>
                                <w:bCs/>
                                <w:i/>
                                <w:i/>
                                <w:iCs/>
                                <w:sz w:val="18"/>
                                <w:szCs w:val="18"/>
                              </w:rPr>
                            </w:pPr>
                            <w:r>
                              <w:rPr>
                                <w:b/>
                                <w:bCs/>
                                <w:i/>
                                <w:iCs/>
                                <w:sz w:val="18"/>
                                <w:szCs w:val="18"/>
                              </w:rPr>
                            </w:r>
                          </w:p>
                        </w:tc>
                        <w:tc>
                          <w:tcPr>
                            <w:tcW w:w="12516" w:type="dxa"/>
                            <w:gridSpan w:val="6"/>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rPr/>
                            </w:pPr>
                            <w:r>
                              <w:rPr>
                                <w:rFonts w:cs="Arial"/>
                                <w:b/>
                                <w:sz w:val="18"/>
                                <w:szCs w:val="18"/>
                              </w:rPr>
                              <w:t>Rozbudowa i poprawa standardu infrastruktury turystycznej i rekreacyjnej na obszarze LSR do 2023 roku</w:t>
                            </w:r>
                          </w:p>
                        </w:tc>
                      </w:tr>
                      <w:tr>
                        <w:trPr>
                          <w:trHeight w:val="765" w:hRule="atLeast"/>
                        </w:trPr>
                        <w:tc>
                          <w:tcPr>
                            <w:tcW w:w="2575" w:type="dxa"/>
                            <w:gridSpan w:val="3"/>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rFonts w:cs="Arial"/>
                                <w:b/>
                                <w:b/>
                                <w:i/>
                                <w:i/>
                                <w:iCs/>
                                <w:sz w:val="18"/>
                                <w:szCs w:val="18"/>
                              </w:rPr>
                            </w:pPr>
                            <w:r>
                              <w:rPr>
                                <w:rFonts w:cs="Arial"/>
                                <w:b/>
                                <w:i/>
                                <w:iCs/>
                                <w:sz w:val="18"/>
                                <w:szCs w:val="18"/>
                              </w:rPr>
                            </w:r>
                          </w:p>
                        </w:tc>
                        <w:tc>
                          <w:tcPr>
                            <w:tcW w:w="1680" w:type="dxa"/>
                            <w:gridSpan w:val="2"/>
                            <w:tcBorders>
                              <w:top w:val="single" w:sz="4" w:space="0" w:color="000000"/>
                              <w:left w:val="single" w:sz="8"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Wskaźniki oddziaływania dla celu ogólnego</w:t>
                            </w:r>
                          </w:p>
                        </w:tc>
                        <w:tc>
                          <w:tcPr>
                            <w:tcW w:w="2480"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stan początkowy 2013 rok</w:t>
                            </w:r>
                          </w:p>
                        </w:tc>
                        <w:tc>
                          <w:tcPr>
                            <w:tcW w:w="1015" w:type="dxa"/>
                            <w:tcBorders>
                              <w:bottom w:val="single" w:sz="4" w:space="0" w:color="000000"/>
                              <w:right w:val="single" w:sz="4" w:space="0" w:color="000000"/>
                            </w:tcBorders>
                            <w:shd w:fill="FFFF00"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00"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W1.0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podmiotów gospodarczych wpisanych do rejestru REGON na 1000 ludności</w:t>
                            </w:r>
                          </w:p>
                          <w:p>
                            <w:pPr>
                              <w:pStyle w:val="Normal"/>
                              <w:spacing w:lineRule="auto" w:line="240" w:before="0" w:after="0"/>
                              <w:jc w:val="center"/>
                              <w:rPr>
                                <w:sz w:val="18"/>
                                <w:szCs w:val="18"/>
                              </w:rPr>
                            </w:pPr>
                            <w:r>
                              <w:rPr>
                                <w:sz w:val="18"/>
                                <w:szCs w:val="18"/>
                              </w:rPr>
                              <w:t> </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 </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88</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89</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gospodarki narodowej – wskaźniki: podmioty wpisane do rejestru REGON na 1000 ludności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Liczba fundacji, stowarzyszeń i organizacji społecznych na 10 tys. mieszkańców</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25</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26</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podmioty gospodarski narodowej – wskaźniki, fundacje, stowarzyszenia i organizacje społeczne na 10 tys. mieszkańców (dane dla powiatu łobeskiego). </w:t>
                            </w:r>
                          </w:p>
                        </w:tc>
                      </w:tr>
                      <w:tr>
                        <w:trPr>
                          <w:trHeight w:val="43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W3.0</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jc w:val="center"/>
                              <w:rPr>
                                <w:sz w:val="18"/>
                                <w:szCs w:val="18"/>
                              </w:rPr>
                            </w:pPr>
                            <w:r>
                              <w:rPr>
                                <w:sz w:val="18"/>
                                <w:szCs w:val="18"/>
                              </w:rPr>
                              <w:t>Saldo migracji na 1000 osób (ogółem)</w:t>
                            </w:r>
                          </w:p>
                        </w:tc>
                        <w:tc>
                          <w:tcPr>
                            <w:tcW w:w="2480"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-5,1</w:t>
                            </w:r>
                          </w:p>
                        </w:tc>
                        <w:tc>
                          <w:tcPr>
                            <w:tcW w:w="1015" w:type="dxa"/>
                            <w:tcBorders>
                              <w:bottom w:val="single" w:sz="4" w:space="0" w:color="000000"/>
                              <w:right w:val="single" w:sz="4" w:space="0" w:color="000000"/>
                            </w:tcBorders>
                            <w:shd w:fill="FFFFFF" w:val="clear"/>
                            <w:vAlign w:val="center"/>
                          </w:tcPr>
                          <w:p>
                            <w:pPr>
                              <w:pStyle w:val="Normal"/>
                              <w:spacing w:lineRule="auto" w:line="240" w:before="0" w:after="0"/>
                              <w:jc w:val="right"/>
                              <w:rPr>
                                <w:sz w:val="18"/>
                                <w:szCs w:val="18"/>
                              </w:rPr>
                            </w:pPr>
                            <w:r>
                              <w:rPr>
                                <w:sz w:val="18"/>
                                <w:szCs w:val="18"/>
                              </w:rPr>
                              <w:t>-4,5</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Bank Danych Lokalnych GUS, zmienna: ludność: saldo migracji na 1000 osób (ogółem). Dane dla powiatu łobeskiego. </w:t>
                            </w:r>
                          </w:p>
                        </w:tc>
                      </w:tr>
                      <w:tr>
                        <w:trPr>
                          <w:trHeight w:val="630" w:hRule="atLeast"/>
                        </w:trPr>
                        <w:tc>
                          <w:tcPr>
                            <w:tcW w:w="1773" w:type="dxa"/>
                            <w:gridSpan w:val="2"/>
                            <w:tcBorders>
                              <w:top w:val="single" w:sz="4" w:space="0" w:color="000000"/>
                              <w:left w:val="single" w:sz="8" w:space="0" w:color="000000"/>
                              <w:bottom w:val="single" w:sz="4" w:space="0" w:color="000000"/>
                              <w:right w:val="single" w:sz="4" w:space="0" w:color="000000"/>
                            </w:tcBorders>
                          </w:tcPr>
                          <w:p>
                            <w:pPr>
                              <w:pStyle w:val="Normal"/>
                              <w:snapToGrid w:val="false"/>
                              <w:spacing w:lineRule="auto" w:line="240" w:before="0" w:after="0"/>
                              <w:jc w:val="center"/>
                              <w:rPr>
                                <w:i/>
                                <w:i/>
                                <w:iCs/>
                                <w:sz w:val="18"/>
                                <w:szCs w:val="18"/>
                              </w:rPr>
                            </w:pPr>
                            <w:r>
                              <w:rPr>
                                <w:i/>
                                <w:iCs/>
                                <w:sz w:val="18"/>
                                <w:szCs w:val="18"/>
                              </w:rPr>
                            </w:r>
                          </w:p>
                        </w:tc>
                        <w:tc>
                          <w:tcPr>
                            <w:tcW w:w="2482" w:type="dxa"/>
                            <w:gridSpan w:val="3"/>
                            <w:tcBorders>
                              <w:top w:val="single" w:sz="4" w:space="0" w:color="000000"/>
                              <w:left w:val="single" w:sz="8"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Wskaźniki rezultatu dla celów szczegółowych</w:t>
                            </w:r>
                          </w:p>
                        </w:tc>
                        <w:tc>
                          <w:tcPr>
                            <w:tcW w:w="2480"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i/>
                                <w:i/>
                                <w:iCs/>
                                <w:sz w:val="18"/>
                                <w:szCs w:val="18"/>
                              </w:rPr>
                            </w:pPr>
                            <w:r>
                              <w:rPr>
                                <w:i/>
                                <w:iCs/>
                                <w:sz w:val="18"/>
                                <w:szCs w:val="18"/>
                              </w:rPr>
                              <w:t xml:space="preserve">Jednostka miary </w:t>
                            </w:r>
                          </w:p>
                        </w:tc>
                        <w:tc>
                          <w:tcPr>
                            <w:tcW w:w="1111" w:type="dxa"/>
                            <w:tcBorders>
                              <w:top w:val="single" w:sz="4" w:space="0" w:color="000000"/>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stan początkowy 2014 rok</w:t>
                            </w:r>
                          </w:p>
                        </w:tc>
                        <w:tc>
                          <w:tcPr>
                            <w:tcW w:w="1015" w:type="dxa"/>
                            <w:tcBorders>
                              <w:bottom w:val="single" w:sz="4" w:space="0" w:color="000000"/>
                              <w:right w:val="single" w:sz="4" w:space="0" w:color="000000"/>
                            </w:tcBorders>
                            <w:shd w:fill="FFFFCC" w:val="clear"/>
                            <w:vAlign w:val="center"/>
                          </w:tcPr>
                          <w:p>
                            <w:pPr>
                              <w:pStyle w:val="Normal"/>
                              <w:spacing w:lineRule="auto" w:line="240" w:before="0" w:after="0"/>
                              <w:jc w:val="center"/>
                              <w:rPr>
                                <w:sz w:val="18"/>
                                <w:szCs w:val="18"/>
                              </w:rPr>
                            </w:pPr>
                            <w:r>
                              <w:rPr>
                                <w:sz w:val="18"/>
                                <w:szCs w:val="18"/>
                              </w:rPr>
                              <w:t>plan 2023 rok</w:t>
                            </w:r>
                          </w:p>
                        </w:tc>
                        <w:tc>
                          <w:tcPr>
                            <w:tcW w:w="6915" w:type="dxa"/>
                            <w:gridSpan w:val="2"/>
                            <w:tcBorders>
                              <w:top w:val="single" w:sz="4" w:space="0" w:color="000000"/>
                              <w:bottom w:val="single" w:sz="4" w:space="0" w:color="000000"/>
                              <w:right w:val="single" w:sz="8" w:space="0" w:color="000000"/>
                            </w:tcBorders>
                            <w:shd w:fill="FFFFCC" w:val="clear"/>
                            <w:vAlign w:val="center"/>
                          </w:tcPr>
                          <w:p>
                            <w:pPr>
                              <w:pStyle w:val="Normal"/>
                              <w:spacing w:lineRule="auto" w:line="240" w:before="0" w:after="0"/>
                              <w:jc w:val="center"/>
                              <w:rPr>
                                <w:i/>
                                <w:i/>
                                <w:iCs/>
                                <w:sz w:val="18"/>
                                <w:szCs w:val="18"/>
                              </w:rPr>
                            </w:pPr>
                            <w:r>
                              <w:rPr>
                                <w:i/>
                                <w:iCs/>
                                <w:sz w:val="18"/>
                                <w:szCs w:val="18"/>
                              </w:rPr>
                              <w:t>Źródło danych/sposób pomiaru</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w1.1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 xml:space="preserve">Liczba utworzonych miejsc pracy </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33 </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utrzymanych miejsc pracy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Pełny etat średnioroczny</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27</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Dane własne LGD, dane przekazane przez beneficjentów ( informacja po realizacji operacji)</w:t>
                            </w:r>
                          </w:p>
                        </w:tc>
                      </w:tr>
                      <w:tr>
                        <w:trPr>
                          <w:trHeight w:val="225"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w2.1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obiektów infrastruktury społecznej służącej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15.000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publikacji służących aktywizacji i integracji mieszkańców</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5.000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 xml:space="preserve">Dane własne LGD, ankiety monitorujące od beneficjentów pomocy, sprawozdania/wnioski o płatność, </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oceniających szkolenia jako adekwatne do oczekiwań</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70</w:t>
                            </w:r>
                          </w:p>
                        </w:tc>
                        <w:tc>
                          <w:tcPr>
                            <w:tcW w:w="6915" w:type="dxa"/>
                            <w:gridSpan w:val="2"/>
                            <w:tcBorders>
                              <w:top w:val="single" w:sz="4" w:space="0" w:color="000000"/>
                              <w:bottom w:val="single" w:sz="4" w:space="0" w:color="000000"/>
                              <w:right w:val="single" w:sz="8" w:space="0" w:color="000000"/>
                            </w:tcBorders>
                          </w:tcPr>
                          <w:p>
                            <w:pPr>
                              <w:pStyle w:val="Normal"/>
                              <w:spacing w:before="0" w:after="160"/>
                              <w:rPr>
                                <w:sz w:val="18"/>
                                <w:szCs w:val="18"/>
                              </w:rPr>
                            </w:pPr>
                            <w:r>
                              <w:rPr>
                                <w:sz w:val="18"/>
                                <w:szCs w:val="18"/>
                              </w:rPr>
                              <w:t>Ankiety poszkoleniowe oceniające szkolenie, zbiorcze podsumowanie szkoleń, dane przekazane przez beneficjentów pomocy (sprawozdania/ wnioski o płatność)</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96</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Ankiety monitorujące od beneficjentów pomocy, sprawozdania, dane UM/ARiMR.</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utworzonych miejsc pracy w biurze LGD w przeliczeniu na pełne etaty średnioroczne</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osób uczestniczących w spotkaniach/wydarzeniach adresowanych do mieszkańców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1.600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zadowolonych ze spotkań przeprowadzonych przez LGD</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1.400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odbiorców wydanych, opracowanych publikacji i materiałów informacyjno-promocyjnych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21.800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uczestników wydarzeń promocyjnych, na których promowano działalność LGD i obszar LSR</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7.200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pPr>
                            <w:r>
                              <w:rPr>
                                <w:sz w:val="18"/>
                                <w:szCs w:val="18"/>
                              </w:rPr>
                              <w:t>Liczba projektów współpracy wykorzystujących lokalne zasoby</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projektów współpracy skierowanych do grup docelowych</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4</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Dane własne LGD.</w:t>
                            </w:r>
                          </w:p>
                        </w:tc>
                      </w:tr>
                      <w:tr>
                        <w:trPr>
                          <w:trHeight w:val="225"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biorących udział w procesie przygotowania koncepcji SV</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250</w:t>
                            </w:r>
                          </w:p>
                        </w:tc>
                        <w:tc>
                          <w:tcPr>
                            <w:tcW w:w="6915" w:type="dxa"/>
                            <w:gridSpan w:val="2"/>
                            <w:tcBorders>
                              <w:top w:val="single" w:sz="4" w:space="0" w:color="000000"/>
                              <w:bottom w:val="single" w:sz="4" w:space="0" w:color="000000"/>
                              <w:right w:val="single" w:sz="8" w:space="0" w:color="000000"/>
                            </w:tcBorders>
                          </w:tcPr>
                          <w:p>
                            <w:pPr>
                              <w:pStyle w:val="Normal"/>
                              <w:spacing w:before="0" w:after="160"/>
                              <w:jc w:val="center"/>
                              <w:rPr>
                                <w:sz w:val="18"/>
                                <w:szCs w:val="18"/>
                              </w:rPr>
                            </w:pPr>
                            <w:r>
                              <w:rPr>
                                <w:sz w:val="18"/>
                                <w:szCs w:val="18"/>
                              </w:rPr>
                              <w:t>Sprawozdanie grantobiorcy, listy obecności ze spotkań</w:t>
                            </w:r>
                          </w:p>
                        </w:tc>
                      </w:tr>
                      <w:tr>
                        <w:trPr>
                          <w:trHeight w:val="225"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t>w2.2</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 xml:space="preserve">Liczba odbiorców działań informacyjnych i promocyjnych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osoba</w:t>
                            </w:r>
                          </w:p>
                        </w:tc>
                        <w:tc>
                          <w:tcPr>
                            <w:tcW w:w="1111"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w:t>
                            </w:r>
                          </w:p>
                        </w:tc>
                        <w:tc>
                          <w:tcPr>
                            <w:tcW w:w="1015" w:type="dxa"/>
                            <w:tcBorders>
                              <w:bottom w:val="single" w:sz="4" w:space="0" w:color="000000"/>
                              <w:right w:val="single" w:sz="4" w:space="0" w:color="000000"/>
                            </w:tcBorders>
                            <w:vAlign w:val="center"/>
                          </w:tcPr>
                          <w:p>
                            <w:pPr>
                              <w:pStyle w:val="Normal"/>
                              <w:spacing w:lineRule="auto" w:line="240" w:before="0" w:after="0"/>
                              <w:jc w:val="right"/>
                              <w:rPr>
                                <w:sz w:val="18"/>
                                <w:szCs w:val="18"/>
                                <w:highlight w:val="yellow"/>
                              </w:rPr>
                            </w:pPr>
                            <w:r>
                              <w:rPr>
                                <w:sz w:val="18"/>
                                <w:szCs w:val="18"/>
                              </w:rPr>
                              <w:t>16.000</w:t>
                            </w:r>
                          </w:p>
                        </w:tc>
                        <w:tc>
                          <w:tcPr>
                            <w:tcW w:w="6915" w:type="dxa"/>
                            <w:gridSpan w:val="2"/>
                            <w:tcBorders>
                              <w:top w:val="single" w:sz="4" w:space="0" w:color="000000"/>
                              <w:bottom w:val="single" w:sz="4" w:space="0" w:color="000000"/>
                              <w:right w:val="single" w:sz="8" w:space="0" w:color="000000"/>
                            </w:tcBorders>
                            <w:vAlign w:val="center"/>
                          </w:tcPr>
                          <w:p>
                            <w:pPr>
                              <w:pStyle w:val="Normal"/>
                              <w:spacing w:lineRule="auto" w:line="240" w:before="0" w:after="0"/>
                              <w:jc w:val="center"/>
                              <w:rPr/>
                            </w:pPr>
                            <w:r>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trPr>
                          <w:trHeight w:val="878"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w3.1</w:t>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nowych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878"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3726" w:type="dxa"/>
                            <w:gridSpan w:val="4"/>
                            <w:tcBorders>
                              <w:top w:val="single" w:sz="4" w:space="0" w:color="000000"/>
                              <w:bottom w:val="single" w:sz="4" w:space="0" w:color="000000"/>
                              <w:right w:val="single" w:sz="4" w:space="0" w:color="000000"/>
                            </w:tcBorders>
                          </w:tcPr>
                          <w:p>
                            <w:pPr>
                              <w:pStyle w:val="Normal"/>
                              <w:spacing w:lineRule="auto" w:line="240" w:before="0" w:after="0"/>
                              <w:rPr>
                                <w:sz w:val="18"/>
                                <w:szCs w:val="18"/>
                              </w:rPr>
                            </w:pPr>
                            <w:r>
                              <w:rPr>
                                <w:sz w:val="18"/>
                                <w:szCs w:val="18"/>
                              </w:rPr>
                              <w:t>Liczba osób korzystających z  przebudowanych obiektów infrastruktury turystycznej i rekreacyjnej</w:t>
                            </w:r>
                          </w:p>
                          <w:p>
                            <w:pPr>
                              <w:pStyle w:val="Normal"/>
                              <w:spacing w:lineRule="auto" w:line="240" w:before="0" w:after="0"/>
                              <w:rPr>
                                <w:sz w:val="18"/>
                                <w:szCs w:val="18"/>
                              </w:rPr>
                            </w:pPr>
                            <w:r>
                              <w:rPr>
                                <w:sz w:val="18"/>
                                <w:szCs w:val="18"/>
                              </w:rPr>
                              <w:t> </w:t>
                            </w:r>
                          </w:p>
                        </w:tc>
                        <w:tc>
                          <w:tcPr>
                            <w:tcW w:w="24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osoba</w:t>
                            </w:r>
                          </w:p>
                        </w:tc>
                        <w:tc>
                          <w:tcPr>
                            <w:tcW w:w="1111" w:type="dxa"/>
                            <w:tcBorders>
                              <w:top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0 </w:t>
                            </w:r>
                          </w:p>
                          <w:p>
                            <w:pPr>
                              <w:pStyle w:val="Normal"/>
                              <w:spacing w:before="0" w:after="160"/>
                              <w:rPr>
                                <w:sz w:val="18"/>
                                <w:szCs w:val="18"/>
                              </w:rPr>
                            </w:pPr>
                            <w:r>
                              <w:rPr>
                                <w:sz w:val="18"/>
                                <w:szCs w:val="18"/>
                              </w:rPr>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right"/>
                              <w:rPr>
                                <w:sz w:val="18"/>
                                <w:szCs w:val="18"/>
                              </w:rPr>
                            </w:pPr>
                            <w:r>
                              <w:rPr>
                                <w:sz w:val="18"/>
                                <w:szCs w:val="18"/>
                              </w:rPr>
                              <w:t>18.000</w:t>
                              <w:br/>
                            </w:r>
                          </w:p>
                        </w:tc>
                        <w:tc>
                          <w:tcPr>
                            <w:tcW w:w="6915" w:type="dxa"/>
                            <w:gridSpan w:val="2"/>
                            <w:tcBorders>
                              <w:top w:val="single" w:sz="4" w:space="0" w:color="000000"/>
                              <w:right w:val="single" w:sz="8"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trPr>
                          <w:trHeight w:val="225" w:hRule="atLeast"/>
                        </w:trPr>
                        <w:tc>
                          <w:tcPr>
                            <w:tcW w:w="1773" w:type="dxa"/>
                            <w:gridSpan w:val="2"/>
                            <w:vMerge w:val="restart"/>
                            <w:tcBorders>
                              <w:top w:val="single" w:sz="4" w:space="0" w:color="000000"/>
                              <w:left w:val="single" w:sz="8"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Przedsięwzięcia</w:t>
                            </w:r>
                          </w:p>
                        </w:tc>
                        <w:tc>
                          <w:tcPr>
                            <w:tcW w:w="1487" w:type="dxa"/>
                            <w:gridSpan w:val="2"/>
                            <w:vMerge w:val="restart"/>
                            <w:tcBorders>
                              <w:top w:val="single" w:sz="4" w:space="0" w:color="000000"/>
                              <w:left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Grupy docelowe</w:t>
                            </w:r>
                          </w:p>
                        </w:tc>
                        <w:tc>
                          <w:tcPr>
                            <w:tcW w:w="995"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rFonts w:cs="Calibri"/>
                                <w:color w:val="000000"/>
                                <w:sz w:val="18"/>
                                <w:szCs w:val="18"/>
                              </w:rPr>
                              <w:t xml:space="preserve"> </w:t>
                            </w:r>
                            <w:r>
                              <w:rPr>
                                <w:color w:val="000000"/>
                                <w:sz w:val="18"/>
                                <w:szCs w:val="18"/>
                              </w:rPr>
                              <w:t xml:space="preserve">Sposób realizacji </w:t>
                            </w:r>
                          </w:p>
                        </w:tc>
                        <w:tc>
                          <w:tcPr>
                            <w:tcW w:w="11521" w:type="dxa"/>
                            <w:gridSpan w:val="5"/>
                            <w:tcBorders>
                              <w:top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Wskaźniki produktu</w:t>
                            </w:r>
                          </w:p>
                        </w:tc>
                      </w:tr>
                      <w:tr>
                        <w:trPr>
                          <w:trHeight w:val="225"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restart"/>
                            <w:tcBorders>
                              <w:top w:val="single" w:sz="4" w:space="0" w:color="000000"/>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nazwa</w:t>
                            </w:r>
                          </w:p>
                        </w:tc>
                        <w:tc>
                          <w:tcPr>
                            <w:tcW w:w="1111" w:type="dxa"/>
                            <w:vMerge w:val="restart"/>
                            <w:tcBorders>
                              <w:left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sz w:val="18"/>
                                <w:szCs w:val="18"/>
                              </w:rPr>
                            </w:pPr>
                            <w:r>
                              <w:rPr>
                                <w:sz w:val="18"/>
                                <w:szCs w:val="18"/>
                              </w:rPr>
                              <w:t xml:space="preserve">Jednostka miary </w:t>
                            </w:r>
                          </w:p>
                        </w:tc>
                        <w:tc>
                          <w:tcPr>
                            <w:tcW w:w="2678" w:type="dxa"/>
                            <w:gridSpan w:val="2"/>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Wartość</w:t>
                            </w:r>
                          </w:p>
                        </w:tc>
                        <w:tc>
                          <w:tcPr>
                            <w:tcW w:w="5252" w:type="dxa"/>
                            <w:vMerge w:val="restart"/>
                            <w:tcBorders>
                              <w:top w:val="single" w:sz="4" w:space="0" w:color="000000"/>
                              <w:left w:val="single" w:sz="4" w:space="0" w:color="000000"/>
                              <w:bottom w:val="single" w:sz="4" w:space="0" w:color="000000"/>
                              <w:right w:val="single" w:sz="8"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Źródło danych/sposób pomiaru</w:t>
                            </w:r>
                          </w:p>
                        </w:tc>
                      </w:tr>
                      <w:tr>
                        <w:trPr>
                          <w:trHeight w:val="497" w:hRule="atLeast"/>
                        </w:trPr>
                        <w:tc>
                          <w:tcPr>
                            <w:tcW w:w="1773" w:type="dxa"/>
                            <w:gridSpan w:val="2"/>
                            <w:vMerge w:val="continue"/>
                            <w:tcBorders>
                              <w:top w:val="single" w:sz="4" w:space="0" w:color="000000"/>
                              <w:left w:val="single" w:sz="8"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487" w:type="dxa"/>
                            <w:gridSpan w:val="2"/>
                            <w:vMerge w:val="continue"/>
                            <w:tcBorders>
                              <w:top w:val="single" w:sz="4" w:space="0" w:color="000000"/>
                              <w:left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995"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2480" w:type="dxa"/>
                            <w:vMerge w:val="continue"/>
                            <w:tcBorders>
                              <w:top w:val="single" w:sz="4" w:space="0" w:color="000000"/>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111" w:type="dxa"/>
                            <w:vMerge w:val="continue"/>
                            <w:tcBorders>
                              <w:left w:val="single" w:sz="4" w:space="0" w:color="000000"/>
                              <w:bottom w:val="single" w:sz="4" w:space="0" w:color="000000"/>
                              <w:right w:val="single" w:sz="4"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c>
                          <w:tcPr>
                            <w:tcW w:w="1015"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początkowa </w:t>
                            </w:r>
                          </w:p>
                          <w:p>
                            <w:pPr>
                              <w:pStyle w:val="Normal"/>
                              <w:spacing w:lineRule="auto" w:line="240" w:before="0" w:after="0"/>
                              <w:jc w:val="center"/>
                              <w:rPr>
                                <w:color w:val="000000"/>
                                <w:sz w:val="18"/>
                                <w:szCs w:val="18"/>
                              </w:rPr>
                            </w:pPr>
                            <w:r>
                              <w:rPr>
                                <w:color w:val="000000"/>
                                <w:sz w:val="18"/>
                                <w:szCs w:val="18"/>
                              </w:rPr>
                              <w:t>2014 rok</w:t>
                            </w:r>
                          </w:p>
                        </w:tc>
                        <w:tc>
                          <w:tcPr>
                            <w:tcW w:w="1663" w:type="dxa"/>
                            <w:tcBorders>
                              <w:top w:val="single" w:sz="4" w:space="0" w:color="000000"/>
                              <w:bottom w:val="single" w:sz="4" w:space="0" w:color="000000"/>
                              <w:right w:val="single" w:sz="4" w:space="0" w:color="000000"/>
                            </w:tcBorders>
                            <w:shd w:fill="FBD4B4" w:val="clear"/>
                            <w:vAlign w:val="center"/>
                          </w:tcPr>
                          <w:p>
                            <w:pPr>
                              <w:pStyle w:val="Normal"/>
                              <w:spacing w:lineRule="auto" w:line="240" w:before="0" w:after="0"/>
                              <w:jc w:val="center"/>
                              <w:rPr>
                                <w:color w:val="000000"/>
                                <w:sz w:val="18"/>
                                <w:szCs w:val="18"/>
                              </w:rPr>
                            </w:pPr>
                            <w:r>
                              <w:rPr>
                                <w:color w:val="000000"/>
                                <w:sz w:val="18"/>
                                <w:szCs w:val="18"/>
                              </w:rPr>
                              <w:t xml:space="preserve">końcowa </w:t>
                            </w:r>
                          </w:p>
                          <w:p>
                            <w:pPr>
                              <w:pStyle w:val="Normal"/>
                              <w:spacing w:lineRule="auto" w:line="240" w:before="0" w:after="0"/>
                              <w:jc w:val="center"/>
                              <w:rPr>
                                <w:color w:val="000000"/>
                                <w:sz w:val="18"/>
                                <w:szCs w:val="18"/>
                              </w:rPr>
                            </w:pPr>
                            <w:r>
                              <w:rPr>
                                <w:color w:val="000000"/>
                                <w:sz w:val="18"/>
                                <w:szCs w:val="18"/>
                              </w:rPr>
                              <w:t>2023 rok</w:t>
                            </w:r>
                          </w:p>
                        </w:tc>
                        <w:tc>
                          <w:tcPr>
                            <w:tcW w:w="5252" w:type="dxa"/>
                            <w:vMerge w:val="continue"/>
                            <w:tcBorders>
                              <w:top w:val="single" w:sz="4" w:space="0" w:color="000000"/>
                              <w:left w:val="single" w:sz="4" w:space="0" w:color="000000"/>
                              <w:bottom w:val="single" w:sz="4" w:space="0" w:color="000000"/>
                              <w:right w:val="single" w:sz="8" w:space="0" w:color="000000"/>
                            </w:tcBorders>
                            <w:shd w:fill="FBD4B4" w:val="clear"/>
                            <w:vAlign w:val="center"/>
                          </w:tcPr>
                          <w:p>
                            <w:pPr>
                              <w:pStyle w:val="Normal"/>
                              <w:snapToGrid w:val="false"/>
                              <w:spacing w:lineRule="auto" w:line="240" w:before="0" w:after="0"/>
                              <w:rPr>
                                <w:color w:val="000000"/>
                                <w:sz w:val="18"/>
                                <w:szCs w:val="18"/>
                              </w:rPr>
                            </w:pPr>
                            <w:r>
                              <w:rPr>
                                <w:color w:val="000000"/>
                                <w:sz w:val="18"/>
                                <w:szCs w:val="18"/>
                              </w:rPr>
                            </w:r>
                          </w:p>
                        </w:tc>
                      </w:tr>
                      <w:tr>
                        <w:trPr>
                          <w:trHeight w:val="184"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Zakładanie działalności gospodarczej</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osoby/podmioty planujące rozpoczęcie działalności gospodarczej</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 – premia ryczałtowa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Liczba zrealizowanych operacji polegających na utworzeniu nowego przedsiębiorstwa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napToGrid w:val="false"/>
                              <w:spacing w:lineRule="auto" w:line="240" w:before="0" w:after="0"/>
                              <w:rPr>
                                <w:strike/>
                                <w:color w:val="000000"/>
                                <w:sz w:val="18"/>
                                <w:szCs w:val="18"/>
                              </w:rPr>
                            </w:pPr>
                            <w:r>
                              <w:rPr>
                                <w:strike/>
                                <w:color w:val="000000"/>
                                <w:sz w:val="18"/>
                                <w:szCs w:val="18"/>
                              </w:rPr>
                            </w:r>
                          </w:p>
                          <w:p>
                            <w:pPr>
                              <w:pStyle w:val="Normal"/>
                              <w:spacing w:lineRule="auto" w:line="240" w:before="0" w:after="0"/>
                              <w:jc w:val="center"/>
                              <w:rPr>
                                <w:sz w:val="18"/>
                                <w:szCs w:val="18"/>
                              </w:rPr>
                            </w:pPr>
                            <w:r>
                              <w:rPr>
                                <w:sz w:val="18"/>
                                <w:szCs w:val="18"/>
                              </w:rPr>
                              <w:t>25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ankiety monitorujące od beneficjentów pomocy, sprawozdania, </w:t>
                            </w:r>
                          </w:p>
                        </w:tc>
                      </w:tr>
                      <w:tr>
                        <w:trPr>
                          <w:trHeight w:val="184"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1.1.2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 xml:space="preserve">Rozwój działalności gospodarczej </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Przedsiębiorcy</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liczbazrealizowanych operacji polegających na rozwoju istniejącego przedsiębiorstwa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8</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Dane o zakończonych projektach (zrealizowane płatności końcowe),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zrealizowanych operacji ukierunkowanych na innowacje</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Dane z wniosków o przyznanie pomocy,</w:t>
                            </w:r>
                            <w:r>
                              <w:rPr>
                                <w:strike/>
                                <w:sz w:val="18"/>
                                <w:szCs w:val="18"/>
                              </w:rPr>
                              <w:t xml:space="preserve"> </w:t>
                            </w:r>
                            <w:r>
                              <w:rPr>
                                <w:sz w:val="18"/>
                                <w:szCs w:val="18"/>
                              </w:rPr>
                              <w:t>dane dotyczące zrealizowanych operacji</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2.1.1</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Działania aktywizujące i integrujące mieszkańców</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wspartych operacji dotyczących inicjatyw w zakresie rozwoju infrastruktury społecznej służącej aktywizacji i integracji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w:t>
                            </w:r>
                          </w:p>
                          <w:p>
                            <w:pPr>
                              <w:pStyle w:val="Normal"/>
                              <w:spacing w:lineRule="auto" w:line="240" w:before="0" w:after="0"/>
                              <w:jc w:val="center"/>
                              <w:rPr>
                                <w:color w:val="FF0000"/>
                                <w:sz w:val="18"/>
                                <w:szCs w:val="18"/>
                              </w:rPr>
                            </w:pPr>
                            <w:r>
                              <w:rPr>
                                <w:color w:val="FF0000"/>
                                <w:sz w:val="18"/>
                                <w:szCs w:val="18"/>
                              </w:rPr>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operacji dotyczących publikacji służących  aktywizacji i integracji mieszkańców</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vertAlign w:val="superscript"/>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2.1.2</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Funkcjonowanie LGD</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Koszty bieżące, aktywizacja</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osobodni szkoleń dla pracowników i organów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Osobodzień</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214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zaświadczenia/ certyfikacy poświadczające udział w szkoleniu</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podmiotów, którym udzielono indywidualnego doradztwa</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podmioty</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110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 – ewidencja doradztwa (np. karta doradztwa)</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xml:space="preserve">Liczba spotkań/ wydarzeń adresowanych do mieszkańców </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80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ind w:left="58" w:hanging="0"/>
                              <w:jc w:val="center"/>
                              <w:textAlignment w:val="baseline"/>
                              <w:rPr>
                                <w:rFonts w:eastAsia="Lucida Grande;Times New Roman" w:cs="Arial"/>
                                <w:kern w:val="2"/>
                                <w:sz w:val="18"/>
                                <w:szCs w:val="18"/>
                                <w:lang w:eastAsia="pl-PL"/>
                              </w:rPr>
                            </w:pPr>
                            <w:r>
                              <w:rPr>
                                <w:rFonts w:eastAsia="Lucida Grande;Times New Roman" w:cs="Arial"/>
                                <w:kern w:val="2"/>
                                <w:sz w:val="18"/>
                                <w:szCs w:val="18"/>
                                <w:lang w:eastAsia="pl-PL"/>
                              </w:rPr>
                              <w:t>Liczba wydanych, opracowanych publikacji i materiałów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35</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rFonts w:eastAsia="Lucida Grande;Times New Roman" w:cs="Arial"/>
                                <w:kern w:val="2"/>
                                <w:sz w:val="18"/>
                                <w:szCs w:val="18"/>
                                <w:lang w:eastAsia="pl-PL"/>
                              </w:rPr>
                              <w:t>Liczba wydarzeń promocyjnych, na których promowano działalność LGD i obszar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16</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odwiedzin strony internetowej LGD</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br/>
                              <w:t>48.000</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2.1.3</w:t>
                            </w:r>
                          </w:p>
                        </w:tc>
                        <w:tc>
                          <w:tcPr>
                            <w:tcW w:w="1244" w:type="dxa"/>
                            <w:vMerge w:val="restart"/>
                            <w:tcBorders>
                              <w:top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Projekty współpracy</w:t>
                            </w:r>
                          </w:p>
                        </w:tc>
                        <w:tc>
                          <w:tcPr>
                            <w:tcW w:w="1487" w:type="dxa"/>
                            <w:gridSpan w:val="2"/>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LGD, mieszkańcy obszaru</w:t>
                            </w:r>
                          </w:p>
                        </w:tc>
                        <w:tc>
                          <w:tcPr>
                            <w:tcW w:w="995" w:type="dxa"/>
                            <w:vMerge w:val="restart"/>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Projekty współpracy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zrealizowanych projektów współpracy</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highlight w:val="yellow"/>
                              </w:rPr>
                            </w:pPr>
                            <w:r>
                              <w:rPr>
                                <w:sz w:val="18"/>
                                <w:szCs w:val="18"/>
                              </w:rPr>
                              <w:t>4</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vMerge w:val="continue"/>
                            <w:tcBorders>
                              <w:top w:val="single" w:sz="4" w:space="0" w:color="000000"/>
                              <w:right w:val="single" w:sz="4" w:space="0" w:color="000000"/>
                            </w:tcBorders>
                          </w:tcPr>
                          <w:p>
                            <w:pPr>
                              <w:pStyle w:val="Normal"/>
                              <w:snapToGrid w:val="false"/>
                              <w:spacing w:lineRule="auto" w:line="240" w:before="60" w:after="0"/>
                              <w:rPr>
                                <w:rFonts w:cs="Arial"/>
                                <w:sz w:val="18"/>
                                <w:szCs w:val="18"/>
                              </w:rPr>
                            </w:pPr>
                            <w:r>
                              <w:rPr>
                                <w:rFonts w:cs="Arial"/>
                                <w:sz w:val="18"/>
                                <w:szCs w:val="18"/>
                              </w:rPr>
                            </w:r>
                          </w:p>
                        </w:tc>
                        <w:tc>
                          <w:tcPr>
                            <w:tcW w:w="1487" w:type="dxa"/>
                            <w:gridSpan w:val="2"/>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rFonts w:cs="Arial"/>
                                <w:sz w:val="18"/>
                                <w:szCs w:val="18"/>
                              </w:rPr>
                            </w:pPr>
                            <w:r>
                              <w:rPr>
                                <w:rFonts w:cs="Arial"/>
                                <w:sz w:val="18"/>
                                <w:szCs w:val="18"/>
                              </w:rPr>
                            </w:r>
                          </w:p>
                        </w:tc>
                        <w:tc>
                          <w:tcPr>
                            <w:tcW w:w="995" w:type="dxa"/>
                            <w:vMerge w:val="continue"/>
                            <w:tcBorders>
                              <w:top w:val="single" w:sz="4" w:space="0" w:color="000000"/>
                              <w:left w:val="single" w:sz="4" w:space="0" w:color="000000"/>
                              <w:right w:val="single" w:sz="4" w:space="0" w:color="000000"/>
                            </w:tcBorders>
                            <w:vAlign w:val="center"/>
                          </w:tcPr>
                          <w:p>
                            <w:pPr>
                              <w:pStyle w:val="Normal"/>
                              <w:snapToGrid w:val="false"/>
                              <w:spacing w:lineRule="auto" w:line="240" w:before="0" w:after="0"/>
                              <w:jc w:val="center"/>
                              <w:rPr>
                                <w:sz w:val="18"/>
                                <w:szCs w:val="18"/>
                              </w:rPr>
                            </w:pPr>
                            <w:r>
                              <w:rPr>
                                <w:sz w:val="18"/>
                                <w:szCs w:val="18"/>
                              </w:rPr>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LGD uczestniczących w projektach współpracy, finansowanych w ramach LSR</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trike/>
                                <w:sz w:val="18"/>
                                <w:szCs w:val="18"/>
                                <w:highlight w:val="yellow"/>
                              </w:rPr>
                            </w:pPr>
                            <w:r>
                              <w:rPr>
                                <w:sz w:val="18"/>
                                <w:szCs w:val="18"/>
                              </w:rPr>
                              <w:t>13</w:t>
                            </w:r>
                          </w:p>
                        </w:tc>
                        <w:tc>
                          <w:tcPr>
                            <w:tcW w:w="5252" w:type="dxa"/>
                            <w:tcBorders>
                              <w:top w:val="single" w:sz="4" w:space="0" w:color="000000"/>
                              <w:bottom w:val="single" w:sz="4" w:space="0" w:color="000000"/>
                              <w:right w:val="single" w:sz="4" w:space="0" w:color="000000"/>
                            </w:tcBorders>
                          </w:tcPr>
                          <w:p>
                            <w:pPr>
                              <w:pStyle w:val="Normal"/>
                              <w:spacing w:before="0" w:after="160"/>
                              <w:jc w:val="center"/>
                              <w:rPr>
                                <w:sz w:val="18"/>
                                <w:szCs w:val="18"/>
                              </w:rPr>
                            </w:pPr>
                            <w:r>
                              <w:rPr>
                                <w:sz w:val="18"/>
                                <w:szCs w:val="18"/>
                              </w:rPr>
                              <w:t>Dane własne LGD.</w:t>
                            </w:r>
                          </w:p>
                        </w:tc>
                      </w:tr>
                      <w:tr>
                        <w:trPr>
                          <w:trHeight w:val="1159" w:hRule="atLeast"/>
                        </w:trPr>
                        <w:tc>
                          <w:tcPr>
                            <w:tcW w:w="529" w:type="dxa"/>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2.1.4</w:t>
                            </w:r>
                          </w:p>
                        </w:tc>
                        <w:tc>
                          <w:tcPr>
                            <w:tcW w:w="1244" w:type="dxa"/>
                            <w:tcBorders>
                              <w:top w:val="single" w:sz="4" w:space="0" w:color="000000"/>
                              <w:right w:val="single" w:sz="4" w:space="0" w:color="000000"/>
                            </w:tcBorders>
                          </w:tcPr>
                          <w:p>
                            <w:pPr>
                              <w:pStyle w:val="Normal"/>
                              <w:spacing w:lineRule="auto" w:line="240" w:before="60" w:after="0"/>
                              <w:rPr>
                                <w:rFonts w:cs="Arial"/>
                                <w:sz w:val="18"/>
                                <w:szCs w:val="18"/>
                              </w:rPr>
                            </w:pPr>
                            <w:r>
                              <w:rPr>
                                <w:sz w:val="18"/>
                                <w:szCs w:val="18"/>
                              </w:rPr>
                              <w:t>Oddolne koncepcje rozwoju w skali mikro (Smart Village)</w:t>
                            </w:r>
                          </w:p>
                        </w:tc>
                        <w:tc>
                          <w:tcPr>
                            <w:tcW w:w="1487" w:type="dxa"/>
                            <w:gridSpan w:val="2"/>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right w:val="single" w:sz="4" w:space="0" w:color="000000"/>
                            </w:tcBorders>
                            <w:vAlign w:val="center"/>
                          </w:tcPr>
                          <w:p>
                            <w:pPr>
                              <w:pStyle w:val="Normal"/>
                              <w:spacing w:lineRule="auto" w:line="240" w:before="0" w:after="0"/>
                              <w:jc w:val="center"/>
                              <w:rPr/>
                            </w:pPr>
                            <w:r>
                              <w:rPr>
                                <w:sz w:val="18"/>
                                <w:szCs w:val="18"/>
                              </w:rPr>
                              <w:t>Liczba opracowanych koncepcji SV</w:t>
                            </w:r>
                          </w:p>
                        </w:tc>
                        <w:tc>
                          <w:tcPr>
                            <w:tcW w:w="1111"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25</w:t>
                            </w:r>
                          </w:p>
                        </w:tc>
                        <w:tc>
                          <w:tcPr>
                            <w:tcW w:w="5252" w:type="dxa"/>
                            <w:tcBorders>
                              <w:top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Sprawozdania grantobiorców</w:t>
                            </w:r>
                          </w:p>
                        </w:tc>
                      </w:tr>
                      <w:tr>
                        <w:trPr>
                          <w:trHeight w:val="130" w:hRule="atLeast"/>
                        </w:trPr>
                        <w:tc>
                          <w:tcPr>
                            <w:tcW w:w="529" w:type="dxa"/>
                            <w:tcBorders>
                              <w:left w:val="single" w:sz="8" w:space="0" w:color="000000"/>
                              <w:bottom w:val="single" w:sz="4" w:space="0" w:color="000000"/>
                              <w:right w:val="single" w:sz="4" w:space="0" w:color="000000"/>
                            </w:tcBorders>
                            <w:vAlign w:val="center"/>
                          </w:tcPr>
                          <w:p>
                            <w:pPr>
                              <w:pStyle w:val="Normal"/>
                              <w:spacing w:lineRule="auto" w:line="240" w:before="0" w:after="0"/>
                              <w:rPr>
                                <w:sz w:val="18"/>
                                <w:szCs w:val="18"/>
                              </w:rPr>
                            </w:pPr>
                            <w:r>
                              <w:rPr>
                                <w:sz w:val="18"/>
                                <w:szCs w:val="18"/>
                              </w:rPr>
                              <w:pict>
                                <v:shapetype id="_x0000_t32" coordsize="21600,21600" o:spt="32" path="m,l21600,21600nfe">
                                  <v:stroke joinstyle="miter"/>
                                  <v:path gradientshapeok="t" o:connecttype="rect" textboxrect="0,0,21600,21600"/>
                                </v:shapetype>
                                <v:shape id="shape_0" stroked="t" o:allowincell="t" style="position:absolute;margin-left:-3.05pt;margin-top:-0.5pt;width:0pt;height:0pt" type="_x0000_t32">
                                  <v:stroke color="black" weight="9360" joinstyle="miter" endcap="flat"/>
                                  <v:fill o:detectmouseclick="t" on="false"/>
                                  <w10:wrap type="none"/>
                                </v:shape>
                              </w:pict>
                              <w:t>2.2.1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Promocja i informacja</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wspartych operacji dotyczących działań informacyjno-promocyjnych</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pict>
                                <v:shape id="shape_0" stroked="t" o:allowincell="t" style="position:absolute;margin-left:-2.5pt;margin-top:-0.5pt;width:0pt;height:0pt" type="_x0000_t32">
                                  <v:stroke color="black" weight="9360" joinstyle="miter" endcap="flat"/>
                                  <v:fill o:detectmouseclick="t" on="false"/>
                                  <w10:wrap type="none"/>
                                </v:shape>
                              </w:pict>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0 </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Ankiety monitorujące od beneficjentów pomocy, sprawozdania, dane UM/ARiMR </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3.1.1</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Obiekt</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2</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konkurs</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Konkurs</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color w:val="000000"/>
                                <w:sz w:val="18"/>
                                <w:szCs w:val="18"/>
                              </w:rPr>
                            </w:pPr>
                            <w:r>
                              <w:rPr>
                                <w:color w:val="000000"/>
                                <w:sz w:val="18"/>
                                <w:szCs w:val="18"/>
                              </w:rPr>
                              <w:t>100</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restart"/>
                            <w:tcBorders>
                              <w:left w:val="single" w:sz="8" w:space="0" w:color="000000"/>
                              <w:right w:val="single" w:sz="4" w:space="0" w:color="000000"/>
                            </w:tcBorders>
                            <w:vAlign w:val="center"/>
                          </w:tcPr>
                          <w:p>
                            <w:pPr>
                              <w:pStyle w:val="Normal"/>
                              <w:spacing w:lineRule="auto" w:line="240" w:before="0" w:after="0"/>
                              <w:rPr>
                                <w:sz w:val="18"/>
                                <w:szCs w:val="18"/>
                              </w:rPr>
                            </w:pPr>
                            <w:r>
                              <w:rPr>
                                <w:sz w:val="18"/>
                                <w:szCs w:val="18"/>
                              </w:rPr>
                              <w:t>3.1.2</w:t>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Liczba nowych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11</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 </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Liczba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 </w:t>
                            </w: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3</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130" w:hRule="atLeast"/>
                        </w:trPr>
                        <w:tc>
                          <w:tcPr>
                            <w:tcW w:w="529" w:type="dxa"/>
                            <w:vMerge w:val="continue"/>
                            <w:tcBorders>
                              <w:left w:val="single" w:sz="8" w:space="0" w:color="000000"/>
                              <w:right w:val="single" w:sz="4" w:space="0" w:color="000000"/>
                            </w:tcBorders>
                            <w:vAlign w:val="center"/>
                          </w:tcPr>
                          <w:p>
                            <w:pPr>
                              <w:pStyle w:val="Normal"/>
                              <w:snapToGrid w:val="false"/>
                              <w:spacing w:lineRule="auto" w:line="240" w:before="0" w:after="0"/>
                              <w:rPr>
                                <w:sz w:val="18"/>
                                <w:szCs w:val="18"/>
                              </w:rPr>
                            </w:pPr>
                            <w:r>
                              <w:rPr>
                                <w:sz w:val="18"/>
                                <w:szCs w:val="18"/>
                              </w:rPr>
                            </w:r>
                          </w:p>
                        </w:tc>
                        <w:tc>
                          <w:tcPr>
                            <w:tcW w:w="1244" w:type="dxa"/>
                            <w:tcBorders>
                              <w:top w:val="single" w:sz="4" w:space="0" w:color="000000"/>
                              <w:bottom w:val="single" w:sz="4" w:space="0" w:color="000000"/>
                              <w:right w:val="single" w:sz="4" w:space="0" w:color="000000"/>
                            </w:tcBorders>
                          </w:tcPr>
                          <w:p>
                            <w:pPr>
                              <w:pStyle w:val="Normal"/>
                              <w:spacing w:lineRule="auto" w:line="240" w:before="60" w:after="0"/>
                              <w:rPr>
                                <w:rFonts w:cs="Arial"/>
                                <w:sz w:val="18"/>
                                <w:szCs w:val="18"/>
                              </w:rPr>
                            </w:pPr>
                            <w:r>
                              <w:rPr>
                                <w:rFonts w:cs="Arial"/>
                                <w:sz w:val="18"/>
                                <w:szCs w:val="18"/>
                              </w:rPr>
                              <w:t>Infrastruktura turystyczna i rekreacyjna – projekty grantowe</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Mieszkańcy obszaru, organizacje pozarządowe, instytucje publiczne</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sz w:val="18"/>
                                <w:szCs w:val="18"/>
                              </w:rPr>
                              <w:t>Projekt grantowy</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Arial"/>
                                <w:sz w:val="18"/>
                                <w:szCs w:val="18"/>
                              </w:rPr>
                              <w:t xml:space="preserve">Liczba zamontowanych urządzeń małej architektury </w:t>
                            </w:r>
                            <w:r>
                              <w:rPr>
                                <w:sz w:val="18"/>
                                <w:szCs w:val="18"/>
                              </w:rPr>
                              <w:t>w ramach nowych i przebudowanych obiektów infrastruktury turystycznej i rekreacyjnej</w:t>
                            </w:r>
                          </w:p>
                        </w:tc>
                        <w:tc>
                          <w:tcPr>
                            <w:tcW w:w="1111" w:type="dxa"/>
                            <w:tcBorders>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sztuka</w:t>
                            </w:r>
                          </w:p>
                        </w:tc>
                        <w:tc>
                          <w:tcPr>
                            <w:tcW w:w="101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0</w:t>
                            </w:r>
                          </w:p>
                        </w:tc>
                        <w:tc>
                          <w:tcPr>
                            <w:tcW w:w="1663" w:type="dxa"/>
                            <w:tcBorders>
                              <w:top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sz w:val="18"/>
                                <w:szCs w:val="18"/>
                              </w:rPr>
                            </w:pPr>
                            <w:r>
                              <w:rPr>
                                <w:sz w:val="18"/>
                                <w:szCs w:val="18"/>
                              </w:rPr>
                              <w:t>95</w:t>
                            </w:r>
                          </w:p>
                        </w:tc>
                        <w:tc>
                          <w:tcPr>
                            <w:tcW w:w="525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sz w:val="18"/>
                                <w:szCs w:val="18"/>
                              </w:rPr>
                            </w:pPr>
                            <w:r>
                              <w:rPr>
                                <w:sz w:val="18"/>
                                <w:szCs w:val="18"/>
                              </w:rPr>
                              <w:t>Ankiety monitorujące od beneficjentów pomocy, sprawozdania, dane UM/ARiMR, dane własne LGD</w:t>
                            </w:r>
                          </w:p>
                        </w:tc>
                      </w:tr>
                      <w:tr>
                        <w:trPr>
                          <w:trHeight w:val="480" w:hRule="atLeast"/>
                        </w:trPr>
                        <w:tc>
                          <w:tcPr>
                            <w:tcW w:w="1773" w:type="dxa"/>
                            <w:gridSpan w:val="2"/>
                            <w:tcBorders>
                              <w:top w:val="single" w:sz="4" w:space="0" w:color="000000"/>
                              <w:left w:val="single" w:sz="8" w:space="0" w:color="000000"/>
                              <w:bottom w:val="single" w:sz="8" w:space="0" w:color="000000"/>
                              <w:right w:val="single" w:sz="4" w:space="0" w:color="000000"/>
                            </w:tcBorders>
                            <w:shd w:fill="F79443" w:val="clear"/>
                            <w:vAlign w:val="center"/>
                          </w:tcPr>
                          <w:p>
                            <w:pPr>
                              <w:pStyle w:val="Normal"/>
                              <w:spacing w:lineRule="auto" w:line="240" w:before="0" w:after="0"/>
                              <w:jc w:val="center"/>
                              <w:rPr>
                                <w:sz w:val="18"/>
                                <w:szCs w:val="18"/>
                              </w:rPr>
                            </w:pPr>
                            <w:r>
                              <w:rPr>
                                <w:sz w:val="18"/>
                                <w:szCs w:val="18"/>
                              </w:rPr>
                              <w:t>SUMA</w:t>
                            </w:r>
                          </w:p>
                        </w:tc>
                        <w:tc>
                          <w:tcPr>
                            <w:tcW w:w="1487" w:type="dxa"/>
                            <w:gridSpan w:val="2"/>
                            <w:tcBorders>
                              <w:top w:val="single" w:sz="4" w:space="0" w:color="000000"/>
                              <w:bottom w:val="single" w:sz="8" w:space="0" w:color="000000"/>
                              <w:right w:val="single" w:sz="4" w:space="0" w:color="000000"/>
                            </w:tcBorders>
                            <w:shd w:fill="F79443" w:val="clear"/>
                            <w:vAlign w:val="center"/>
                          </w:tcPr>
                          <w:p>
                            <w:pPr>
                              <w:pStyle w:val="Normal"/>
                              <w:snapToGrid w:val="false"/>
                              <w:spacing w:lineRule="auto" w:line="240" w:before="0" w:after="0"/>
                              <w:jc w:val="center"/>
                              <w:rPr>
                                <w:b/>
                                <w:b/>
                                <w:bCs/>
                                <w:sz w:val="18"/>
                                <w:szCs w:val="18"/>
                              </w:rPr>
                            </w:pPr>
                            <w:r>
                              <w:rPr>
                                <w:b/>
                                <w:bCs/>
                                <w:sz w:val="18"/>
                                <w:szCs w:val="18"/>
                              </w:rPr>
                            </w:r>
                          </w:p>
                        </w:tc>
                        <w:tc>
                          <w:tcPr>
                            <w:tcW w:w="995" w:type="dxa"/>
                            <w:tcBorders>
                              <w:top w:val="single" w:sz="4" w:space="0" w:color="000000"/>
                              <w:bottom w:val="single" w:sz="8" w:space="0" w:color="000000"/>
                              <w:right w:val="single" w:sz="4" w:space="0" w:color="000000"/>
                            </w:tcBorders>
                            <w:shd w:fill="F79443" w:val="clear"/>
                            <w:vAlign w:val="center"/>
                          </w:tcPr>
                          <w:p>
                            <w:pPr>
                              <w:pStyle w:val="Normal"/>
                              <w:spacing w:lineRule="auto" w:line="240" w:before="0" w:after="0"/>
                              <w:jc w:val="center"/>
                              <w:rPr>
                                <w:b/>
                                <w:b/>
                                <w:bCs/>
                                <w:sz w:val="18"/>
                                <w:szCs w:val="18"/>
                              </w:rPr>
                            </w:pPr>
                            <w:r>
                              <w:rPr>
                                <w:b/>
                                <w:bCs/>
                                <w:sz w:val="18"/>
                                <w:szCs w:val="18"/>
                              </w:rPr>
                              <w:t> </w:t>
                            </w:r>
                          </w:p>
                        </w:tc>
                        <w:tc>
                          <w:tcPr>
                            <w:tcW w:w="11521" w:type="dxa"/>
                            <w:gridSpan w:val="5"/>
                            <w:tcBorders>
                              <w:top w:val="single" w:sz="4" w:space="0" w:color="000000"/>
                              <w:bottom w:val="single" w:sz="8" w:space="0" w:color="000000"/>
                              <w:right w:val="single" w:sz="8" w:space="0" w:color="000000"/>
                            </w:tcBorders>
                            <w:vAlign w:val="center"/>
                          </w:tcPr>
                          <w:p>
                            <w:pPr>
                              <w:pStyle w:val="Normal"/>
                              <w:spacing w:lineRule="auto" w:line="240" w:before="0" w:after="0"/>
                              <w:jc w:val="center"/>
                              <w:rPr>
                                <w:sz w:val="18"/>
                                <w:szCs w:val="18"/>
                              </w:rPr>
                            </w:pPr>
                            <w:r>
                              <w:rPr>
                                <w:sz w:val="18"/>
                                <w:szCs w:val="18"/>
                              </w:rPr>
                              <w:t> </w:t>
                            </w:r>
                          </w:p>
                        </w:tc>
                      </w:tr>
                    </w:tbl>
                  </w:txbxContent>
                </v:textbox>
                <w10:wrap type="square"/>
              </v:rect>
            </w:pict>
          </mc:Fallback>
        </mc:AlternateContent>
      </w:r>
      <w:r>
        <mc:AlternateContent>
          <mc:Choice Requires="wps">
            <w:drawing>
              <wp:anchor behindDoc="0" distT="4445" distB="4445" distL="119380" distR="119380" simplePos="0" locked="0" layoutInCell="1" allowOverlap="1" relativeHeight="18">
                <wp:simplePos x="0" y="0"/>
                <wp:positionH relativeFrom="column">
                  <wp:posOffset>-38735</wp:posOffset>
                </wp:positionH>
                <wp:positionV relativeFrom="paragraph">
                  <wp:posOffset>-215265</wp:posOffset>
                </wp:positionV>
                <wp:extent cx="334010" cy="1270"/>
                <wp:effectExtent l="0" t="0" r="0" b="0"/>
                <wp:wrapNone/>
                <wp:docPr id="17" name=""/>
                <a:graphic xmlns:a="http://schemas.openxmlformats.org/drawingml/2006/main">
                  <a:graphicData uri="http://schemas.microsoft.com/office/word/2010/wordprocessingShape">
                    <wps:wsp>
                      <wps:cNvCnPr/>
                      <wps:spPr>
                        <a:xfrm>
                          <a:off x="0" y="0"/>
                          <a:ext cx="360" cy="360"/>
                        </a:xfrm>
                        <a:prstGeom prst="straightConnector1">
                          <a:avLst/>
                        </a:prstGeom>
                        <a:ln w="9360">
                          <a:solidFill>
                            <a:srgbClr val="000000"/>
                          </a:solidFill>
                          <a:miter/>
                        </a:ln>
                      </wps:spPr>
                      <wps:bodyPr/>
                    </wps:wsp>
                  </a:graphicData>
                </a:graphic>
              </wp:anchor>
            </w:drawing>
          </mc:Choice>
          <mc:Fallback>
            <w:pict>
              <v:shape id="shape_0" stroked="t" o:allowincell="t" style="position:absolute;margin-left:-3.05pt;margin-top:-0.5pt;width:0pt;height:0pt" type="_x0000_t32">
                <v:stroke color="black" weight="9360" joinstyle="miter" endcap="flat"/>
                <v:fill o:detectmouseclick="t" on="false"/>
                <w10:wrap type="none"/>
              </v:shape>
            </w:pict>
          </mc:Fallback>
        </mc:AlternateContent>
        <mc:AlternateContent>
          <mc:Choice Requires="wps">
            <w:drawing>
              <wp:anchor behindDoc="0" distT="4445" distB="4445" distL="119380" distR="119380" simplePos="0" locked="0" layoutInCell="1" allowOverlap="1" relativeHeight="17">
                <wp:simplePos x="0" y="0"/>
                <wp:positionH relativeFrom="column">
                  <wp:posOffset>-31750</wp:posOffset>
                </wp:positionH>
                <wp:positionV relativeFrom="paragraph">
                  <wp:posOffset>-212090</wp:posOffset>
                </wp:positionV>
                <wp:extent cx="715010" cy="1270"/>
                <wp:effectExtent l="0" t="0" r="0" b="0"/>
                <wp:wrapNone/>
                <wp:docPr id="18" name=""/>
                <a:graphic xmlns:a="http://schemas.openxmlformats.org/drawingml/2006/main">
                  <a:graphicData uri="http://schemas.microsoft.com/office/word/2010/wordprocessingShape">
                    <wps:wsp>
                      <wps:cNvCnPr/>
                      <wps:spPr>
                        <a:xfrm>
                          <a:off x="0" y="0"/>
                          <a:ext cx="360" cy="360"/>
                        </a:xfrm>
                        <a:prstGeom prst="straightConnector1">
                          <a:avLst/>
                        </a:prstGeom>
                        <a:ln w="9360">
                          <a:solidFill>
                            <a:srgbClr val="000000"/>
                          </a:solidFill>
                          <a:miter/>
                        </a:ln>
                      </wps:spPr>
                      <wps:bodyPr/>
                    </wps:wsp>
                  </a:graphicData>
                </a:graphic>
              </wp:anchor>
            </w:drawing>
          </mc:Choice>
          <mc:Fallback>
            <w:pict>
              <v:shape id="shape_0" stroked="t" o:allowincell="t" style="position:absolute;margin-left:-2.5pt;margin-top:-0.5pt;width:0pt;height:0pt" type="_x0000_t32">
                <v:stroke color="black" weight="9360" joinstyle="miter" endcap="flat"/>
                <v:fill o:detectmouseclick="t" on="false"/>
                <w10:wrap type="none"/>
              </v:shape>
            </w:pict>
          </mc:Fallback>
        </mc:AlternateConten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t>Matryca logiczna – logika interwencji w ramach LSR</w:t>
      </w:r>
    </w:p>
    <w:tbl>
      <w:tblPr>
        <w:tblW w:w="15701" w:type="dxa"/>
        <w:jc w:val="left"/>
        <w:tblInd w:w="-113" w:type="dxa"/>
        <w:tblLayout w:type="fixed"/>
        <w:tblCellMar>
          <w:top w:w="0" w:type="dxa"/>
          <w:left w:w="108" w:type="dxa"/>
          <w:bottom w:w="0" w:type="dxa"/>
          <w:right w:w="108" w:type="dxa"/>
        </w:tblCellMar>
      </w:tblPr>
      <w:tblGrid>
        <w:gridCol w:w="2263"/>
        <w:gridCol w:w="1560"/>
        <w:gridCol w:w="2409"/>
        <w:gridCol w:w="1843"/>
        <w:gridCol w:w="2410"/>
        <w:gridCol w:w="1417"/>
        <w:gridCol w:w="1560"/>
        <w:gridCol w:w="2239"/>
      </w:tblGrid>
      <w:tr>
        <w:trPr/>
        <w:tc>
          <w:tcPr>
            <w:tcW w:w="2263"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b/>
                <w:b/>
                <w:sz w:val="20"/>
                <w:szCs w:val="20"/>
              </w:rPr>
            </w:pPr>
            <w:r>
              <w:rPr>
                <w:rFonts w:cs="Times New Roman" w:ascii="Times New Roman" w:hAnsi="Times New Roman"/>
                <w:b/>
                <w:sz w:val="20"/>
                <w:szCs w:val="20"/>
              </w:rPr>
              <w:t>Zidentyfikowane problemy/wyzwania społeczno-ekonomiczne</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Planowane przedsięwzięcia</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Produkty</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Cele szczegółowe</w:t>
            </w:r>
          </w:p>
        </w:tc>
        <w:tc>
          <w:tcPr>
            <w:tcW w:w="241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Rezultaty</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Cel ogólny</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Oddziaływanie</w:t>
            </w:r>
          </w:p>
        </w:tc>
        <w:tc>
          <w:tcPr>
            <w:tcW w:w="2239"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b/>
                <w:b/>
                <w:sz w:val="20"/>
                <w:szCs w:val="20"/>
              </w:rPr>
            </w:pPr>
            <w:r>
              <w:rPr>
                <w:rFonts w:cs="Times New Roman" w:ascii="Times New Roman" w:hAnsi="Times New Roman"/>
                <w:b/>
                <w:sz w:val="20"/>
                <w:szCs w:val="20"/>
              </w:rPr>
              <w:t>Czynniki zewnętrzne mające wpływ na realizację działań i osiągnięcie wskaźników</w:t>
            </w:r>
          </w:p>
        </w:tc>
      </w:tr>
      <w:tr>
        <w:trPr>
          <w:trHeight w:val="465" w:hRule="atLeast"/>
        </w:trPr>
        <w:tc>
          <w:tcPr>
            <w:tcW w:w="2263"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eastAsia="Times New Roman" w:cs="Times New Roman" w:ascii="Times New Roman" w:hAnsi="Times New Roman"/>
                <w:kern w:val="2"/>
                <w:sz w:val="20"/>
                <w:szCs w:val="20"/>
                <w:lang w:eastAsia="hi-IN" w:bidi="hi-IN"/>
              </w:rPr>
              <w:t xml:space="preserve"> </w:t>
            </w:r>
            <w:r>
              <w:rPr>
                <w:rFonts w:cs="Times New Roman" w:ascii="Times New Roman" w:hAnsi="Times New Roman"/>
                <w:kern w:val="2"/>
                <w:sz w:val="20"/>
                <w:szCs w:val="20"/>
                <w:lang w:eastAsia="hi-IN" w:bidi="hi-IN"/>
              </w:rPr>
              <w:t>- niskie wskaźniki przedsiębiorczości na obszarze LSR,</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wysokie bezrobocie,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bardzo zła ocena rynku pracy i zarobków wśród mieszkańców, konieczność tworzenia nowych miejsc pracy wskazana w badaniu,</w:t>
            </w:r>
          </w:p>
          <w:p>
            <w:pPr>
              <w:pStyle w:val="Normal"/>
              <w:spacing w:before="0" w:after="160"/>
              <w:rPr/>
            </w:pPr>
            <w:r>
              <w:rPr>
                <w:rFonts w:cs="Times New Roman" w:ascii="Times New Roman" w:hAnsi="Times New Roman"/>
                <w:kern w:val="2"/>
                <w:sz w:val="20"/>
                <w:szCs w:val="20"/>
                <w:lang w:eastAsia="hi-IN" w:bidi="hi-IN"/>
              </w:rPr>
              <w:t>- migracja osób młodych,</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rPr>
              <w:t xml:space="preserve">1.1.1 Zakładanie działalności gospodarczej </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polegających na utworzeniu nowego przedsiębiorstwa</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rPr>
              <w:t>Cel szczegółowy 1.1: Rozwój przedsiębiorczości na obszarze LSR do 2023 r.</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 xml:space="preserve">Liczba utworzonych miejsc pracy </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t>Cel ogólny 1: Wsparcie rozwoju gospodarczego i konkurencyjności obszaru LSR do 2023 r.</w:t>
            </w:r>
          </w:p>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podmiotów gospodarczych wpisanych do rejestru REGON na 1000 ludności</w:t>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Niestabilna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polityka państwa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Długie i kosztowne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Procedury aktualizacji</w:t>
            </w:r>
          </w:p>
          <w:p>
            <w:pPr>
              <w:pStyle w:val="Normal"/>
              <w:rPr/>
            </w:pPr>
            <w:r>
              <w:rPr>
                <w:rFonts w:cs="Times New Roman" w:ascii="Times New Roman" w:hAnsi="Times New Roman"/>
                <w:sz w:val="20"/>
                <w:szCs w:val="20"/>
                <w:lang w:eastAsia="pl-PL"/>
              </w:rPr>
              <w:t>Planów zagospodarowania przestrzennego</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zagrożeniem dla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inwestycji i rozwoju</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przedsiębiorczości</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Niedostateczne.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dostosowanie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prawodawstwa</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krajowego do</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legalnej sprzedaży</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produktów lokalnych.</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Skomplikowane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przepisy dla osób</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xml:space="preserve">rozpoczynających działalność gospodarczą.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Preferencje w</w:t>
            </w:r>
          </w:p>
          <w:p>
            <w:pPr>
              <w:pStyle w:val="Normal"/>
              <w:rPr/>
            </w:pPr>
            <w:r>
              <w:rPr>
                <w:rFonts w:cs="Times New Roman" w:ascii="Times New Roman" w:hAnsi="Times New Roman"/>
                <w:sz w:val="20"/>
                <w:szCs w:val="20"/>
                <w:lang w:eastAsia="pl-PL"/>
              </w:rPr>
              <w:t>finansowaniu</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innowacji i B+R,</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zastępowanie</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dotacji instrumentami</w:t>
            </w:r>
          </w:p>
          <w:p>
            <w:pPr>
              <w:pStyle w:val="Normal"/>
              <w:spacing w:before="0" w:after="160"/>
              <w:rPr>
                <w:rFonts w:ascii="Times New Roman" w:hAnsi="Times New Roman" w:cs="Times New Roman"/>
                <w:sz w:val="20"/>
                <w:szCs w:val="20"/>
                <w:lang w:eastAsia="pl-PL"/>
              </w:rPr>
            </w:pPr>
            <w:r>
              <w:rPr>
                <w:rFonts w:cs="Times New Roman" w:ascii="Times New Roman" w:hAnsi="Times New Roman"/>
                <w:sz w:val="20"/>
                <w:szCs w:val="20"/>
                <w:lang w:eastAsia="pl-PL"/>
              </w:rPr>
              <w:t>zwrotnymi.</w:t>
            </w:r>
          </w:p>
        </w:tc>
      </w:tr>
      <w:tr>
        <w:trPr>
          <w:trHeight w:val="46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ukierunkowanych na innowacje</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r>
      <w:tr>
        <w:trPr>
          <w:trHeight w:val="72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1.1.2 Rozwój działalności gospodarczej </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polegających na rozwoju istniejącego przedsiębiorstwa</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utrzymanych miejsc pracy</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519"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zrealizowanych operacji ukierunkowanych na innowacje</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993" w:hRule="atLeast"/>
        </w:trPr>
        <w:tc>
          <w:tcPr>
            <w:tcW w:w="2263"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eastAsia="Times New Roman" w:cs="Times New Roman" w:ascii="Times New Roman" w:hAnsi="Times New Roman"/>
                <w:kern w:val="2"/>
                <w:sz w:val="20"/>
                <w:szCs w:val="20"/>
                <w:lang w:eastAsia="hi-IN" w:bidi="hi-IN"/>
              </w:rPr>
              <w:t xml:space="preserve"> </w:t>
            </w:r>
            <w:r>
              <w:rPr>
                <w:rFonts w:cs="Times New Roman" w:ascii="Times New Roman" w:hAnsi="Times New Roman"/>
                <w:kern w:val="2"/>
                <w:sz w:val="20"/>
                <w:szCs w:val="20"/>
                <w:lang w:eastAsia="hi-IN" w:bidi="hi-IN"/>
              </w:rPr>
              <w:t>- niska ocena poziomu aktywizacji mieszkańców,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niewielkie środki na realizację inicjatyw przez lokalne NGO,</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konieczność podniesienia kwalifikacji mieszkańców,</w:t>
            </w:r>
          </w:p>
          <w:p>
            <w:pPr>
              <w:pStyle w:val="Normal"/>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trudności w prawidłowym przygotowaniu i realizacji projektów finansowanych ze środków UE,</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2.1.1 Działania aktywizujące i integrujące mieszkańców</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wspartych operacji dotyczących inicjatyw w zakresie rozwoju infrastruktury społecznej służącej aktywizacji i integracji mieszkańców</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t>Cel szczegółowy 2.1: Aktywizacja i integracja mieszkańców obszaru LSR do 2023 r.</w:t>
            </w:r>
          </w:p>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korzystających z obiektów infrastruktury społecznej służącej aktywizacji i integracji mieszkańców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odbiorców publikacji służących aktywizacji i integracji mieszkańców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przeszkolonych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osób oceniających szkolenia jako adekwatne do oczekiwań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które otrzymały wsparcie po uprzednim udzieleniu indywidualnego doradztwa w zakresie ubiegania się o wsparcie na realizację LSR, świadczonego w biurze LGD</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utworzonych miejsc pracy w biurze LGD w przeliczeniu na pełne etaty średnioroczne</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osób uczestniczących w spotkaniach/wydarzeniach adresowanych do mieszkańców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zadowolonych ze spotkań przeprowadzonych przez LGD</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odbiorców wydanych, opracowanych publikacji i materiałów informacyjno-promocyjnych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uczestników wydarzeń promocyjnych, na których promowano działalność LGD i obszar LSR</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projektów współpracy wykorzystujących lokalne zasoby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Liczba projektów współpracy skierowanych do następujących grup docelowych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osób biorących udział w procesie przygotowania koncepcji SV</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Cel ogólny 2: Aktywizacja mieszkańców obszaru LSR i budowanie kapitału społecznego do 2023 r.</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fundacji, stowarzyszeń i organizacji społecznych na 10 tys. mieszkańców</w:t>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 Nierówności 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zakresie rozwoju</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wojew. zachodniopom</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(obszary peryferyjne).</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Niska jakość</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grup rządzących,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wynikająca ze słabej świadomości</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xml:space="preserve">obywatelskiej społeczeństwa, </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niskiej aktywności i</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partycypacji społecznej.</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 Wysysanie młodzieży z obszarów wiejskich i małych miasteczek przez</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aglomeracje.</w:t>
            </w:r>
          </w:p>
        </w:tc>
      </w:tr>
      <w:tr>
        <w:trPr>
          <w:trHeight w:val="993"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993"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993"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554"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operacji dotyczących publikacji służących aktywizacji i integracji mieszkańców</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r>
      <w:tr>
        <w:trPr>
          <w:trHeight w:val="54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2.1.2 Funkcjonowanie LGD</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osobodni szkoleń dla pracowników i organów  LGD</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Często zmieniające się przepisy lub ich brak. Zawiłości przepisów prawa.</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Niekorzystanie z doradztwa i szkoleń przez beneficjentów.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Nieznajomość LSR przez ekspertów zewnętrznych.</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41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osób/podmiotów, którym udzielono indywidualnego doradztwa</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411"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 xml:space="preserve">Liczba spotkań/wydarzeń adresowanych do mieszkańców </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27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kern w:val="2"/>
                <w:sz w:val="20"/>
                <w:szCs w:val="20"/>
                <w:lang w:eastAsia="pl-PL"/>
              </w:rPr>
              <w:t>Liczba wydanych, opracowanych publikacji i materiałów informacyjno-promocyjnych</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27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kern w:val="2"/>
                <w:sz w:val="20"/>
                <w:szCs w:val="20"/>
                <w:lang w:eastAsia="pl-PL"/>
              </w:rPr>
              <w:t>Liczba wydarzeń promocyjnych, na których promowano działalność LGD i obszar LSR</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53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 xml:space="preserve">Liczba odwiedzin strony internetowej LGD </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83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2.1.3 Projekty współpracy</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zrealizowanych projektów współpracy</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Brak środków własnych na realizację projektów.</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t>Długotrwałe procedury rozliczania projektów współpracy, szczególnie międzynarodowych.</w:t>
            </w:r>
          </w:p>
        </w:tc>
      </w:tr>
      <w:tr>
        <w:trPr>
          <w:trHeight w:val="2104"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LGD uczestniczących w projektach współpracy, finansowanych w ramach LSR</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r>
      <w:tr>
        <w:trPr>
          <w:trHeight w:val="62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2.1.4 Oddolne koncepcje rozwoju w skali mikro (Smart Village)</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160"/>
              <w:rPr>
                <w:rFonts w:ascii="Times New Roman" w:hAnsi="Times New Roman" w:cs="Times New Roman"/>
                <w:sz w:val="20"/>
                <w:szCs w:val="20"/>
                <w:lang w:eastAsia="pl-PL"/>
              </w:rPr>
            </w:pPr>
            <w:r>
              <mc:AlternateContent>
                <mc:Choice Requires="wps">
                  <w:drawing>
                    <wp:anchor behindDoc="0" distT="4445" distB="4445" distL="119380" distR="119380" simplePos="0" locked="0" layoutInCell="1" allowOverlap="1" relativeHeight="16">
                      <wp:simplePos x="0" y="0"/>
                      <wp:positionH relativeFrom="column">
                        <wp:posOffset>2622550</wp:posOffset>
                      </wp:positionH>
                      <wp:positionV relativeFrom="paragraph">
                        <wp:posOffset>17145</wp:posOffset>
                      </wp:positionV>
                      <wp:extent cx="1534160" cy="1270"/>
                      <wp:effectExtent l="0" t="0" r="0" b="0"/>
                      <wp:wrapNone/>
                      <wp:docPr id="19" name=""/>
                      <a:graphic xmlns:a="http://schemas.openxmlformats.org/drawingml/2006/main">
                        <a:graphicData uri="http://schemas.microsoft.com/office/word/2010/wordprocessingShape">
                          <wps:wsp>
                            <wps:cNvCnPr/>
                            <wps:spPr>
                              <a:xfrm>
                                <a:off x="0" y="0"/>
                                <a:ext cx="360" cy="360"/>
                              </a:xfrm>
                              <a:prstGeom prst="straightConnector1">
                                <a:avLst/>
                              </a:prstGeom>
                              <a:ln w="9360">
                                <a:solidFill>
                                  <a:srgbClr val="000000"/>
                                </a:solidFill>
                                <a:miter/>
                              </a:ln>
                            </wps:spPr>
                            <wps:bodyPr/>
                          </wps:wsp>
                        </a:graphicData>
                      </a:graphic>
                    </wp:anchor>
                  </w:drawing>
                </mc:Choice>
                <mc:Fallback>
                  <w:pict>
                    <v:shape id="shape_0" stroked="t" o:allowincell="t" style="position:absolute;margin-left:206.5pt;margin-top:1.35pt;width:0pt;height:0pt" type="_x0000_t32">
                      <v:stroke color="black" weight="9360" joinstyle="miter" endcap="flat"/>
                      <v:fill o:detectmouseclick="t" on="false"/>
                      <w10:wrap type="none"/>
                    </v:shape>
                  </w:pict>
                </mc:Fallback>
              </mc:AlternateContent>
            </w:r>
            <w:r>
              <w:rPr>
                <w:rFonts w:cs="Times New Roman" w:ascii="Times New Roman" w:hAnsi="Times New Roman"/>
                <w:sz w:val="20"/>
                <w:szCs w:val="20"/>
                <w:lang w:eastAsia="pl-PL"/>
              </w:rPr>
              <w:t>Liczba opracowanych koncepcji SV</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lang w:eastAsia="pl-PL"/>
              </w:rPr>
            </w:pPr>
            <w:r>
              <w:rPr>
                <w:rFonts w:cs="Times New Roman" w:ascii="Times New Roman" w:hAnsi="Times New Roman"/>
                <w:sz w:val="20"/>
                <w:szCs w:val="20"/>
                <w:lang w:eastAsia="pl-PL"/>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jc w:val="both"/>
              <w:rPr>
                <w:rFonts w:ascii="Times New Roman" w:hAnsi="Times New Roman" w:cs="Times New Roman"/>
                <w:sz w:val="20"/>
                <w:szCs w:val="20"/>
              </w:rPr>
            </w:pPr>
            <w:r>
              <w:rPr>
                <w:rFonts w:cs="Times New Roman" w:ascii="Times New Roman" w:hAnsi="Times New Roman"/>
                <w:sz w:val="20"/>
                <w:szCs w:val="20"/>
              </w:rPr>
            </w:r>
          </w:p>
        </w:tc>
      </w:tr>
      <w:tr>
        <w:trPr>
          <w:trHeight w:val="620" w:hRule="atLeast"/>
        </w:trPr>
        <w:tc>
          <w:tcPr>
            <w:tcW w:w="2263"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 niewystarczająca skala działań promocyjnych,</w:t>
            </w:r>
          </w:p>
          <w:p>
            <w:pPr>
              <w:pStyle w:val="Normal"/>
              <w:spacing w:before="0" w:after="160"/>
              <w:rPr>
                <w:rFonts w:ascii="Times New Roman" w:hAnsi="Times New Roman" w:cs="Times New Roman"/>
                <w:sz w:val="20"/>
                <w:szCs w:val="20"/>
              </w:rPr>
            </w:pPr>
            <w:r>
              <w:rPr>
                <w:rFonts w:cs="Times New Roman" w:ascii="Times New Roman" w:hAnsi="Times New Roman"/>
                <w:sz w:val="20"/>
                <w:szCs w:val="20"/>
              </w:rPr>
              <w:t>- brak współpracy i kompleksowości działań.</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60" w:after="160"/>
              <w:jc w:val="both"/>
              <w:rPr>
                <w:rFonts w:ascii="Times New Roman" w:hAnsi="Times New Roman" w:cs="Times New Roman"/>
                <w:sz w:val="20"/>
                <w:szCs w:val="20"/>
              </w:rPr>
            </w:pPr>
            <w:r>
              <w:rPr>
                <w:rFonts w:cs="Times New Roman" w:ascii="Times New Roman" w:hAnsi="Times New Roman"/>
                <w:sz w:val="20"/>
                <w:szCs w:val="20"/>
              </w:rPr>
              <w:t>2.2.1 Promocja i informacja</w:t>
            </w:r>
          </w:p>
          <w:p>
            <w:pPr>
              <w:pStyle w:val="Normal"/>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wspartych operacji dotyczących działań informacyjno-promocyjnych</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2.2: Promocja zasobów lokalnych obszaru LSR do 2023 r.</w:t>
            </w:r>
          </w:p>
        </w:tc>
        <w:tc>
          <w:tcPr>
            <w:tcW w:w="24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Liczba odbiorców działań informacyjnych i promocyjnych</w:t>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Małe zainteresowanie naborami.</w:t>
            </w:r>
          </w:p>
          <w:p>
            <w:pPr>
              <w:pStyle w:val="Normal"/>
              <w:spacing w:before="0" w:after="160"/>
              <w:rPr>
                <w:rFonts w:ascii="Times New Roman" w:hAnsi="Times New Roman" w:cs="Times New Roman"/>
                <w:sz w:val="20"/>
                <w:szCs w:val="20"/>
              </w:rPr>
            </w:pPr>
            <w:r>
              <w:rPr>
                <w:rFonts w:cs="Times New Roman" w:ascii="Times New Roman" w:hAnsi="Times New Roman"/>
                <w:sz w:val="20"/>
                <w:szCs w:val="20"/>
              </w:rPr>
              <w:t>Brak wiedzy na temat działania</w:t>
            </w:r>
          </w:p>
        </w:tc>
      </w:tr>
      <w:tr>
        <w:trPr>
          <w:trHeight w:val="968" w:hRule="atLeast"/>
        </w:trPr>
        <w:tc>
          <w:tcPr>
            <w:tcW w:w="2263"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braki w infrastrukturze i jej zły stan techniczny,</w:t>
            </w:r>
          </w:p>
          <w:p>
            <w:pPr>
              <w:pStyle w:val="Normal"/>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niewykorzystany potencjał turystyczny obszaru,</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3.1.1 Infrastruktura turystyczna i rekreacyjna (procedura konkursowa)</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lang w:eastAsia="pl-PL"/>
              </w:rPr>
            </w:pPr>
            <w:r>
              <w:rPr>
                <w:rFonts w:cs="Times New Roman" w:ascii="Times New Roman" w:hAnsi="Times New Roman"/>
                <w:sz w:val="20"/>
                <w:szCs w:val="20"/>
              </w:rPr>
              <w:t>Liczba nowych obiektów infrastruktury turystycznej i rekreacyjnej</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Cel szczegółowy 3.1: Rozbudowa i poprawa standardu infrastruktury turystycznej i rekreacyjnej na obszarze LSR do 2023 r.</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0"/>
                <w:szCs w:val="20"/>
              </w:rPr>
              <w:t>Liczba osób korzystających z nowych obiektów infrastruktury turystycznej i rekreacyjnej</w:t>
            </w:r>
          </w:p>
          <w:p>
            <w:pPr>
              <w:pStyle w:val="Normal"/>
              <w:rPr>
                <w:rFonts w:ascii="Times New Roman" w:hAnsi="Times New Roman" w:cs="Times New Roman"/>
                <w:sz w:val="20"/>
                <w:szCs w:val="20"/>
              </w:rPr>
            </w:pPr>
            <w:r>
              <w:rPr>
                <w:rFonts w:cs="Times New Roman" w:ascii="Times New Roman" w:hAnsi="Times New Roman"/>
                <w:sz w:val="20"/>
                <w:szCs w:val="20"/>
              </w:rPr>
              <w:t>Liczba osób korzystających z przebudowanych obiektów infrastruktury turystycznej i rekreacyjnej</w:t>
            </w:r>
          </w:p>
          <w:p>
            <w:pPr>
              <w:pStyle w:val="Normal"/>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Cel ogólny 3: Wzmocnienie atrakcyjności obszaru LSR do 2023 r.</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Saldo migracji na 1000 osób (ogółem)</w:t>
            </w:r>
          </w:p>
        </w:tc>
        <w:tc>
          <w:tcPr>
            <w:tcW w:w="2239" w:type="dxa"/>
            <w:vMerge w:val="restart"/>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Skomplikowane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procedury 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pozyskiwaniu środków,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mechanizmy refundacji w PROW.</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 Zbyt duże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zadłużenie JST,</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ograniczające ich</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możliwości</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inwestycyjne</w:t>
            </w:r>
          </w:p>
          <w:p>
            <w:pPr>
              <w:pStyle w:val="Normal"/>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t>Niska jakość WOPP.</w:t>
            </w:r>
          </w:p>
          <w:p>
            <w:pPr>
              <w:pStyle w:val="Normal"/>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r>
      <w:tr>
        <w:trPr>
          <w:trHeight w:val="48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r>
      <w:tr>
        <w:trPr>
          <w:trHeight w:val="480"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zamontowanych urządzeń małej architektury w ramach nowych i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r>
      <w:tr>
        <w:trPr>
          <w:trHeight w:val="1395"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kern w:val="2"/>
                <w:sz w:val="20"/>
                <w:szCs w:val="20"/>
                <w:lang w:eastAsia="hi-IN" w:bidi="hi-IN"/>
              </w:rPr>
            </w:pPr>
            <w:r>
              <w:rPr>
                <w:rFonts w:cs="Times New Roman" w:ascii="Times New Roman" w:hAnsi="Times New Roman"/>
                <w:kern w:val="2"/>
                <w:sz w:val="20"/>
                <w:szCs w:val="20"/>
                <w:lang w:eastAsia="hi-IN" w:bidi="hi-IN"/>
              </w:rPr>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3.1.2 Infrastruktura turystyczna i rekreacyjna (projekty grantowe)</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pPr>
            <w:r>
              <w:rPr>
                <w:rFonts w:cs="Times New Roman" w:ascii="Times New Roman" w:hAnsi="Times New Roman"/>
                <w:sz w:val="20"/>
                <w:szCs w:val="20"/>
              </w:rPr>
              <w:t>Liczba nowych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rHeight w:val="698"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rHeight w:val="697" w:hRule="atLeast"/>
        </w:trPr>
        <w:tc>
          <w:tcPr>
            <w:tcW w:w="22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60" w:after="160"/>
              <w:rPr>
                <w:rFonts w:ascii="Times New Roman" w:hAnsi="Times New Roman" w:cs="Times New Roman"/>
                <w:sz w:val="20"/>
                <w:szCs w:val="20"/>
              </w:rPr>
            </w:pPr>
            <w:r>
              <w:rPr>
                <w:rFonts w:cs="Times New Roman" w:ascii="Times New Roman" w:hAnsi="Times New Roman"/>
                <w:sz w:val="20"/>
                <w:szCs w:val="20"/>
              </w:rPr>
              <w:t>Liczba zamontowanych urządzeń małej architektury w ramach nowych i przebudowanych obiektów infrastruktury turystycznej i rekreacyjnej</w:t>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60" w:after="160"/>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sectPr>
          <w:headerReference w:type="default" r:id="rId19"/>
          <w:footerReference w:type="default" r:id="rId20"/>
          <w:footnotePr>
            <w:numFmt w:val="decimal"/>
          </w:footnotePr>
          <w:type w:val="nextPage"/>
          <w:pgSz w:orient="landscape" w:w="16838" w:h="11906"/>
          <w:pgMar w:left="567" w:right="567" w:gutter="0" w:header="0" w:top="851" w:footer="0" w:bottom="567"/>
          <w:pgNumType w:fmt="decimal"/>
          <w:formProt w:val="false"/>
          <w:textDirection w:val="lrTb"/>
          <w:docGrid w:type="default" w:linePitch="360" w:charSpace="0"/>
        </w:sectPr>
        <w:pStyle w:val="Normal"/>
        <w:rPr/>
      </w:pPr>
      <w:r>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LSR zaplanowano realizację 3 wskaźników oddziaływania (przypisanych do celów ogólnych</w:t>
      </w:r>
      <w:r>
        <w:rPr>
          <w:rFonts w:cs="Times New Roman" w:ascii="Times New Roman" w:hAnsi="Times New Roman"/>
          <w:color w:val="000000"/>
          <w:sz w:val="24"/>
          <w:szCs w:val="24"/>
        </w:rPr>
        <w:t>), 16</w:t>
      </w:r>
      <w:r>
        <w:rPr>
          <w:rFonts w:cs="Times New Roman" w:ascii="Times New Roman" w:hAnsi="Times New Roman"/>
          <w:sz w:val="24"/>
          <w:szCs w:val="24"/>
        </w:rPr>
        <w:t xml:space="preserve"> wskaźników rezultatu (przypisanych do odpowiednich celów szczegółowych) i 19 wskaźników produktu (przypisanych do poszczególnych przedsięwzięć). W LSR umieszczono wszystkie obowiązkowe wskaźniki wynikające z przepisów programowych. Przyjęte wskaźniki są przejrzyste i mierzalne (wskazano wartość bazową, wartość docelową, terminy ich osiągania oraz opisano źródła danych, sposób i częstotliwość pomiaru). Wszystkie wskaźniki są adekwatne do odpowiednich celów i przedsięwzięć, są bezpośrednio związane z zakresem udzielanego wsparcia i pozwalają na mierzenie efektów poszczególnych operacji (w tym wpływ na strategię rozwoju regionu). Szczegółowy sposób i częstotliwość dokonywania pomiarów zostały określone w zasadach monitorowania i ewaluacji. Wartość wyjściowa wskaźników produktu i rezultatu wynosi zero, ponieważ nie realizowano do tej pory żadnych operacji w ramach środków LSR na lata 2014-2020. Przyjęte wskaźniki oddziaływania zostały oparte o dane pochodzące ze źródeł statystyki publicznej (Bank Danych Lokalnych GUS). Wartość wyjściowa tych wskaźników została określona na podstawie danych BDL GUS, według stanu na 31.12.2013 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W trakcie konsultacji społecznych przekazano uwagi dotyczące wagi i celowości monitorowania efektów realizacji LSR i jej wskaźników, co pozwoli zadbać o stabilną sytuację i pozwoli podejmować działania interwencyjne w przypadku rozbieżności lub niepowodzeń w realizacji LSR. Do najskuteczniejszych metod monitorowania zaliczono bezpośrednie rozmowy z beneficjentami i wizje lokalne w miejscu realizacji projektów. </w:t>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VI.  SPOSÓB OCENY I WYBORU OPERACJI ORAZ SPOSÓB USTANAWIANIA KRYTERIÓW WYBORU:</w:t>
      </w:r>
    </w:p>
    <w:p>
      <w:pPr>
        <w:pStyle w:val="Akapitzlist"/>
        <w:numPr>
          <w:ilvl w:val="0"/>
          <w:numId w:val="41"/>
        </w:numPr>
        <w:shd w:fill="FFFFFF" w:val="clear"/>
        <w:spacing w:lineRule="auto" w:line="240" w:before="60" w:after="0"/>
        <w:contextualSpacing/>
        <w:jc w:val="both"/>
        <w:rPr>
          <w:rFonts w:ascii="Times New Roman" w:hAnsi="Times New Roman" w:cs="Times New Roman"/>
          <w:b/>
          <w:b/>
          <w:sz w:val="24"/>
          <w:szCs w:val="24"/>
        </w:rPr>
      </w:pPr>
      <w:r>
        <w:rPr>
          <w:rFonts w:cs="Times New Roman" w:ascii="Times New Roman" w:hAnsi="Times New Roman"/>
          <w:b/>
          <w:sz w:val="24"/>
          <w:szCs w:val="24"/>
        </w:rPr>
        <w:t>FORMY WSPARCIA</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ramach LSR będą realizowane następujące typy operacji:</w:t>
      </w:r>
    </w:p>
    <w:p>
      <w:pPr>
        <w:pStyle w:val="Normal"/>
        <w:numPr>
          <w:ilvl w:val="0"/>
          <w:numId w:val="11"/>
        </w:numP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operacje realizowane indywidualnie w ramach wniosków składanych przez beneficjentów innych niż LGD, operacje te będą wybierane przez Radę, a następnie przedkładane do samorządu wojewódzkiego w celu ich weryfikacji.</w:t>
      </w:r>
    </w:p>
    <w:p>
      <w:pPr>
        <w:pStyle w:val="Normal"/>
        <w:numPr>
          <w:ilvl w:val="0"/>
          <w:numId w:val="11"/>
        </w:numP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Projekty grantowe - LGD będzie udzielała grantów w drodze otwartego naboru ogłoszonego przez LGD konkursu na realizację zadań służących osiągnięciu celu operacji.</w:t>
      </w:r>
    </w:p>
    <w:p>
      <w:pPr>
        <w:pStyle w:val="Normal"/>
        <w:numPr>
          <w:ilvl w:val="0"/>
          <w:numId w:val="11"/>
        </w:numPr>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Operacje własne – operacje kluczowe dla osiągnięcia celów LSR, realizowane przez LGD, pod warunkiem, że operacje te nie spotkały się z zainteresowaniem innych wnioskodawców.</w:t>
      </w:r>
    </w:p>
    <w:p>
      <w:pPr>
        <w:pStyle w:val="Akapitzlist"/>
        <w:numPr>
          <w:ilvl w:val="0"/>
          <w:numId w:val="41"/>
        </w:numPr>
        <w:shd w:fill="FFFFFF" w:val="clear"/>
        <w:spacing w:lineRule="auto" w:line="240" w:before="60" w:after="0"/>
        <w:contextualSpacing/>
        <w:jc w:val="both"/>
        <w:rPr>
          <w:rFonts w:ascii="Times New Roman" w:hAnsi="Times New Roman" w:cs="Times New Roman"/>
          <w:b/>
          <w:b/>
          <w:sz w:val="24"/>
          <w:szCs w:val="24"/>
        </w:rPr>
      </w:pPr>
      <w:r>
        <w:rPr>
          <w:rFonts w:cs="Times New Roman" w:ascii="Times New Roman" w:hAnsi="Times New Roman"/>
          <w:b/>
          <w:sz w:val="24"/>
          <w:szCs w:val="24"/>
        </w:rPr>
        <w:t>CEL TWORZENIA PROCEDUR</w:t>
      </w:r>
    </w:p>
    <w:p>
      <w:pPr>
        <w:pStyle w:val="Normal"/>
        <w:jc w:val="both"/>
        <w:rPr/>
      </w:pPr>
      <w:r>
        <w:rPr>
          <w:rFonts w:cs="Times New Roman" w:ascii="Times New Roman" w:hAnsi="Times New Roman"/>
          <w:sz w:val="24"/>
          <w:szCs w:val="24"/>
        </w:rPr>
        <w:t>Celem tworzenia procedur jest zapewnienie przejrzystości i obiektywizmu w procesie naborów i oceny wniosków o udzielenie wsparcia w ramach realizacji LSR. Zapewnienie niedyskryminujących warunków do aplikowania  przez wnioskodawców o środki na operacje wpisujące się w cele strategii, w tym określenie zasad oceny poszczególnych operacji w taki sposób, aby w jak największym stopniu odpowiadały na problemy obszaru.</w:t>
      </w:r>
    </w:p>
    <w:p>
      <w:pPr>
        <w:pStyle w:val="Normal"/>
        <w:shd w:fill="FFFFFF" w:val="clear"/>
        <w:spacing w:lineRule="auto" w:line="240" w:before="60" w:after="0"/>
        <w:jc w:val="both"/>
        <w:rPr/>
      </w:pPr>
      <w:r>
        <w:rPr>
          <w:rFonts w:cs="Times New Roman" w:ascii="Times New Roman" w:hAnsi="Times New Roman"/>
          <w:sz w:val="24"/>
          <w:szCs w:val="24"/>
        </w:rPr>
        <w:t>Procedury naboru wniosków o przyznanie pomocy zawarte są w dokumentach:  Procedura wyboru i oceny operacji, Procedura wyboru i oceny grantobiorców w ramach projektów grantowych wraz z opisem sposobu  rozliczania grantów, monitorowania i kontroli,  które zawierają wszystkie najważniejsze dla wnioskodawcy informacje oraz w Regulaminie Rady Stowarzyszenia Centrum Inicjatyw Wiejskich</w:t>
      </w:r>
      <w:r>
        <w:rPr>
          <w:rFonts w:cs="Times New Roman" w:ascii="Times New Roman" w:hAnsi="Times New Roman"/>
          <w:i/>
          <w:sz w:val="24"/>
          <w:szCs w:val="24"/>
        </w:rPr>
        <w:t>,</w:t>
      </w:r>
      <w:r>
        <w:rPr>
          <w:rFonts w:cs="Times New Roman" w:ascii="Times New Roman" w:hAnsi="Times New Roman"/>
          <w:sz w:val="24"/>
          <w:szCs w:val="24"/>
        </w:rPr>
        <w:t xml:space="preserve"> który zawiera wytyczne dla członków Rady w zakresie procedur oceny wniosków o udzielenie wsparcia.</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Procedury i Regulamin Rady na stałe zostaną zamieszczone na stronie internetowej Lokalnej Grupy Działania Centrum Inicjatyw Wiejskich a także będą publikowane razem z dokumentacją konkursową przy każdym naborze wniosków.</w:t>
      </w:r>
    </w:p>
    <w:p>
      <w:pPr>
        <w:pStyle w:val="Akapitzlist"/>
        <w:widowControl w:val="false"/>
        <w:numPr>
          <w:ilvl w:val="0"/>
          <w:numId w:val="41"/>
        </w:numPr>
        <w:shd w:fill="FFFFFF" w:val="clear"/>
        <w:spacing w:lineRule="auto" w:line="240" w:before="60" w:after="0"/>
        <w:contextualSpacing/>
        <w:jc w:val="both"/>
        <w:rPr>
          <w:rFonts w:ascii="Times New Roman" w:hAnsi="Times New Roman" w:cs="Times New Roman"/>
          <w:b/>
          <w:b/>
          <w:sz w:val="24"/>
          <w:szCs w:val="24"/>
        </w:rPr>
      </w:pPr>
      <w:r>
        <w:rPr>
          <w:rFonts w:cs="Times New Roman" w:ascii="Times New Roman" w:hAnsi="Times New Roman"/>
          <w:b/>
          <w:sz w:val="24"/>
          <w:szCs w:val="24"/>
        </w:rPr>
        <w:t>ZAKRES PROCEDUR</w:t>
      </w:r>
    </w:p>
    <w:p>
      <w:pPr>
        <w:pStyle w:val="Normal"/>
        <w:shd w:fill="FFFFFF" w:val="clear"/>
        <w:spacing w:lineRule="auto" w:line="240" w:before="60" w:after="0"/>
        <w:jc w:val="both"/>
        <w:rPr/>
      </w:pPr>
      <w:r>
        <w:rPr>
          <w:rFonts w:cs="Times New Roman" w:ascii="Times New Roman" w:hAnsi="Times New Roman"/>
          <w:sz w:val="24"/>
          <w:szCs w:val="24"/>
        </w:rPr>
        <w:t>Na potrzeby prawidłowej realizacji Lokalnej Strategii Rozwoju w części dotyczącej realizacji naborów wniosków (konkursowych, grantowych, własnych) Lokalna Grupa Działania Centrum Inicjatyw Wiejskich opracowała dokumenty regulujące  kwestie dotyczące realizacji naborów wniosków i pracy Rady LGD CIW. W wyniku prac powstały trzy dokumenty:</w:t>
      </w:r>
    </w:p>
    <w:p>
      <w:pPr>
        <w:pStyle w:val="Akapitzlist"/>
        <w:numPr>
          <w:ilvl w:val="0"/>
          <w:numId w:val="27"/>
        </w:numPr>
        <w:shd w:fill="FFFFFF" w:val="clea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Procedura </w:t>
      </w:r>
      <w:r>
        <w:rPr>
          <w:rFonts w:cs="Times New Roman" w:ascii="Times New Roman" w:hAnsi="Times New Roman"/>
          <w:bCs/>
          <w:sz w:val="24"/>
          <w:szCs w:val="24"/>
          <w:lang w:eastAsia="pl-PL"/>
        </w:rPr>
        <w:t>wyboru i oceny operacji w ramach Lokalnej Strategii Rozwoju w Lokalnej Grupie Działania Centrum Inicjatyw Wiejskich,</w:t>
      </w:r>
    </w:p>
    <w:p>
      <w:pPr>
        <w:pStyle w:val="Akapitzlist"/>
        <w:numPr>
          <w:ilvl w:val="0"/>
          <w:numId w:val="27"/>
        </w:numPr>
        <w:shd w:fill="FFFFFF" w:val="clear"/>
        <w:spacing w:lineRule="auto" w:line="240" w:before="60" w:after="0"/>
        <w:contextualSpacing/>
        <w:jc w:val="both"/>
        <w:rPr>
          <w:rFonts w:ascii="Times New Roman" w:hAnsi="Times New Roman" w:cs="Times New Roman"/>
          <w:sz w:val="24"/>
          <w:szCs w:val="24"/>
        </w:rPr>
      </w:pPr>
      <w:r>
        <w:rPr>
          <w:rFonts w:cs="Times New Roman" w:ascii="Times New Roman" w:hAnsi="Times New Roman"/>
          <w:bCs/>
          <w:sz w:val="24"/>
          <w:szCs w:val="24"/>
          <w:lang w:eastAsia="pl-PL"/>
        </w:rPr>
        <w:t>Procedura wyboru i oceny Grantobiorców w ramach Projektów Grantowych wraz z opisem sposobu rozliczania grantów, monitorowania i kontroli w Lokalnej Grupie Działania Centrum Inicjatyw,</w:t>
      </w:r>
    </w:p>
    <w:p>
      <w:pPr>
        <w:pStyle w:val="Akapitzlist"/>
        <w:numPr>
          <w:ilvl w:val="0"/>
          <w:numId w:val="27"/>
        </w:numPr>
        <w:shd w:fill="FFFFFF" w:val="clear"/>
        <w:spacing w:lineRule="auto" w:line="240" w:before="60" w:after="0"/>
        <w:contextualSpacing/>
        <w:jc w:val="both"/>
        <w:rPr/>
      </w:pPr>
      <w:r>
        <w:rPr>
          <w:rFonts w:cs="Times New Roman" w:ascii="Times New Roman" w:hAnsi="Times New Roman"/>
          <w:sz w:val="24"/>
          <w:szCs w:val="24"/>
        </w:rPr>
        <w:t>Procedura oceny i wyboru operacji własnych w ramach Lokalnej Strategii Rozwoju w Lokalnej Grupie Działania Centrum Inicjatyw Wiejskich</w:t>
      </w:r>
    </w:p>
    <w:p>
      <w:pPr>
        <w:pStyle w:val="Akapitzlist"/>
        <w:numPr>
          <w:ilvl w:val="0"/>
          <w:numId w:val="27"/>
        </w:numPr>
        <w:shd w:fill="FFFFFF" w:val="clear"/>
        <w:spacing w:lineRule="auto" w:line="240" w:before="60" w:after="0"/>
        <w:contextualSpacing/>
        <w:jc w:val="both"/>
        <w:rPr>
          <w:rFonts w:ascii="Times New Roman" w:hAnsi="Times New Roman" w:cs="Times New Roman"/>
          <w:sz w:val="24"/>
          <w:szCs w:val="24"/>
        </w:rPr>
      </w:pPr>
      <w:r>
        <w:rPr>
          <w:rFonts w:cs="Times New Roman" w:ascii="Times New Roman" w:hAnsi="Times New Roman"/>
          <w:bCs/>
          <w:sz w:val="24"/>
          <w:szCs w:val="24"/>
          <w:lang w:eastAsia="pl-PL"/>
        </w:rPr>
        <w:t>Regulamin Rady LGD CIW.</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Niniejsze dokumenty zostały opracowane w oparciu o zapisy właściwych Rozporządzeń i Ustaw, a także </w:t>
        <w:br/>
        <w:t xml:space="preserve">o Wytyczne w zakresie jednolitego i prawidłowego wykonania przez Lokalne Grupy Działania zadań związanych z realizacją strategii rozwoju lokalnego kierowanego przez społeczność w ramach działania </w:t>
        <w:br/>
        <w:t>„Wsparcie dla rozwoju lokalnego w ramach inicjatywy LEADER”  objętego programem Rozwoju Obszarów Wiejskich na lata 2014 – 2020.</w:t>
      </w:r>
    </w:p>
    <w:tbl>
      <w:tblPr>
        <w:tblW w:w="10705" w:type="dxa"/>
        <w:jc w:val="left"/>
        <w:tblInd w:w="-113" w:type="dxa"/>
        <w:tblLayout w:type="fixed"/>
        <w:tblCellMar>
          <w:top w:w="0" w:type="dxa"/>
          <w:left w:w="108" w:type="dxa"/>
          <w:bottom w:w="0" w:type="dxa"/>
          <w:right w:w="108" w:type="dxa"/>
        </w:tblCellMar>
      </w:tblPr>
      <w:tblGrid>
        <w:gridCol w:w="2676"/>
        <w:gridCol w:w="2676"/>
        <w:gridCol w:w="2676"/>
        <w:gridCol w:w="2677"/>
      </w:tblGrid>
      <w:tr>
        <w:trPr/>
        <w:tc>
          <w:tcPr>
            <w:tcW w:w="2676"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bCs/>
                <w:sz w:val="24"/>
                <w:szCs w:val="24"/>
                <w:lang w:eastAsia="pl-PL"/>
              </w:rPr>
              <w:t>Zakres procedur opisany w Procedurze wyboru i oceny operacji w ramach Lokalnej Strategii Rozwoju w Lokalnej Grupie Działania Centrum Inicjatyw Wiejskich</w:t>
            </w:r>
          </w:p>
        </w:tc>
        <w:tc>
          <w:tcPr>
            <w:tcW w:w="2676"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lang w:eastAsia="pl-PL"/>
              </w:rPr>
              <w:t>Zakres procedur opisany w Procedurze wyboru i oceny Grantobiorców w ramach Projektów Grantowych wraz z opisem sposobu rozliczania grantów, monitorowania i kontroli w Lokalnej Grupie Działania Centrum Inicjatyw Wiejskich</w:t>
            </w:r>
          </w:p>
        </w:tc>
        <w:tc>
          <w:tcPr>
            <w:tcW w:w="2676"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bCs/>
                <w:sz w:val="24"/>
                <w:szCs w:val="24"/>
                <w:lang w:eastAsia="pl-PL"/>
              </w:rPr>
              <w:t xml:space="preserve">Zakres procedur opisany w </w:t>
              <w:br/>
              <w:t>Regulaminie Rady LGD CIW</w:t>
            </w:r>
          </w:p>
        </w:tc>
        <w:tc>
          <w:tcPr>
            <w:tcW w:w="2677" w:type="dxa"/>
            <w:tcBorders>
              <w:top w:val="single" w:sz="4" w:space="0" w:color="000000"/>
              <w:left w:val="single" w:sz="4" w:space="0" w:color="000000"/>
              <w:bottom w:val="single" w:sz="4" w:space="0" w:color="000000"/>
              <w:right w:val="single" w:sz="4" w:space="0" w:color="000000"/>
            </w:tcBorders>
            <w:shd w:fill="92D050" w:val="clear"/>
          </w:tcPr>
          <w:p>
            <w:pPr>
              <w:pStyle w:val="Normal"/>
              <w:spacing w:lineRule="auto" w:line="240" w:before="0" w:after="0"/>
              <w:jc w:val="center"/>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 xml:space="preserve">Zakres procedur opisany w Procedurze </w:t>
            </w:r>
            <w:r>
              <w:rPr>
                <w:rFonts w:cs="Times New Roman" w:ascii="Times New Roman" w:hAnsi="Times New Roman"/>
                <w:b/>
                <w:sz w:val="24"/>
                <w:szCs w:val="24"/>
              </w:rPr>
              <w:t>oceny i wyboru operacji własnych w ramach Lokalnej Strategii Rozwoju w Lokalnej Grupie Działania Centrum Inicjatyw Wiejskich</w:t>
            </w:r>
          </w:p>
        </w:tc>
      </w:tr>
      <w:tr>
        <w:trPr/>
        <w:tc>
          <w:tcPr>
            <w:tcW w:w="26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organizacji naborów wniosków - tryb ogłaszania, czas trwania naboru, miejsce składania wniosków, zasady przeprowadzenia naboru wniosków</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udostępnienia procedur dotyczących naborów oraz oceny wniosków do wiadomości publicznej oraz sposób udostępniania informacji o posiedzeniach Rady LGD,</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t xml:space="preserve">- Zasady przeprowadzenia oceny za zgodność operacji z  Programem,  podejmowania decyzji w sprawie wyboru operacji, w tym wzory kart oceny operacji </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t>- Z</w:t>
            </w:r>
            <w:r>
              <w:rPr>
                <w:rFonts w:cs="Times New Roman" w:ascii="Times New Roman" w:hAnsi="Times New Roman"/>
                <w:bCs/>
                <w:sz w:val="24"/>
                <w:szCs w:val="24"/>
                <w:lang w:eastAsia="pl-PL"/>
              </w:rPr>
              <w:t>asady informowania o wynikach oceny i możliwości wniesienia protestu od rozstrzygnięć organu decyzyjnego w sposób zapewniający możliwość skutecznego złożenia protestu wraz z wzorami dokumentów,,</w:t>
            </w:r>
            <w:r>
              <w:rPr>
                <w:rFonts w:cs="Times New Roman" w:ascii="Times New Roman" w:hAnsi="Times New Roman"/>
                <w:bCs/>
                <w:color w:val="000000"/>
                <w:sz w:val="24"/>
                <w:szCs w:val="24"/>
                <w:highlight w:val="cyan"/>
                <w:lang w:eastAsia="pl-PL"/>
              </w:rPr>
              <w:t xml:space="preserve"> </w:t>
            </w:r>
          </w:p>
          <w:p>
            <w:pPr>
              <w:pStyle w:val="Normal"/>
              <w:spacing w:lineRule="auto" w:line="240" w:before="0" w:after="0"/>
              <w:rPr/>
            </w:pPr>
            <w:r>
              <w:rPr>
                <w:rFonts w:cs="Times New Roman" w:ascii="Times New Roman" w:hAnsi="Times New Roman"/>
                <w:bCs/>
                <w:sz w:val="24"/>
                <w:szCs w:val="24"/>
                <w:lang w:eastAsia="pl-PL"/>
              </w:rPr>
              <w:t xml:space="preserve">- </w:t>
            </w:r>
            <w:r>
              <w:rPr>
                <w:rFonts w:cs="Times New Roman" w:ascii="Times New Roman" w:hAnsi="Times New Roman"/>
                <w:bCs/>
                <w:color w:val="000000"/>
                <w:sz w:val="24"/>
                <w:szCs w:val="24"/>
                <w:lang w:eastAsia="pl-PL"/>
              </w:rPr>
              <w:t xml:space="preserve">W odniesieniu do regulaminu Rady LGD: informacje o sposobie postępowania w przypadku rozbieżności w ocenie operacji oraz w przypadku wystąpienia równej liczby głosów, </w:t>
              <w:br/>
              <w:t>- Zasady przekazywania dokumentacji do Samorządu Województwa,</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t>Informacje o zapewnieniu stosowania tych samych kryteriów w całym procesie wyboru w ramach danego naboru, informacja o terminach podawania do wiadomości publicznej protokołów z posiedzeń Rady LGD.</w:t>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bCs/>
                <w:color w:val="000000"/>
                <w:sz w:val="24"/>
                <w:szCs w:val="24"/>
                <w:lang w:eastAsia="pl-PL"/>
              </w:rPr>
            </w:r>
          </w:p>
          <w:p>
            <w:pPr>
              <w:pStyle w:val="Normal"/>
              <w:spacing w:lineRule="auto" w:line="240" w:before="0" w:after="0"/>
              <w:rPr>
                <w:rFonts w:ascii="Times New Roman" w:hAnsi="Times New Roman" w:cs="Times New Roman"/>
                <w:bCs/>
                <w:color w:val="000000"/>
                <w:sz w:val="24"/>
                <w:szCs w:val="24"/>
                <w:lang w:eastAsia="pl-PL"/>
              </w:rPr>
            </w:pPr>
            <w:r>
              <w:rPr>
                <w:rFonts w:cs="Times New Roman" w:ascii="Times New Roman" w:hAnsi="Times New Roman"/>
                <w:sz w:val="24"/>
                <w:szCs w:val="24"/>
              </w:rPr>
              <w:t>Niniejsza procedura stanowi załącznik do Wniosku o wybór Lokalnej Strategii Rozwoju.</w:t>
            </w:r>
          </w:p>
        </w:tc>
        <w:tc>
          <w:tcPr>
            <w:tcW w:w="26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organizacji naborów wniosków - tryb ogłaszania, czas trwania naboru, miejsce składania wniosków, zasady przeprowadzenia naboru wniosków</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udostępnienia procedur dotyczących naborów oraz oceny wniosków do wiadomości publicznej oraz sposób udostępniania informacji o posiedzeniach Rady LGD,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Informacje nt. wniosku o przyznanie pomocy,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rejestracji i wstępnej oceny wniosków (ocena formalna oraz ocena zgodności z Programem,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przeprowadzania oceny operacji przez Radę LGD, podejmowania decyzji w sprawie wyboru operacji, w tym wzory kart oceny operacji oraz określania kwoty wsparcia,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informowania o wynikach oceny i możliwości wniesienia odwołania,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wnoszenia odwołania od oceny,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ustalania ostatecznej listy Grantobiorców,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przekazywania dokumentacji do Samorządu województwa,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odstąpienia od konkursu grantowego,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zawierania i aneksowania umowy o powierzenie grantu wraz z opisem obligatoryjnych części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zabezpieczenia prawidłowej realizacji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kontroli, monitoringu i ewaluacji operacji grantowych,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rozliczania operacji grantowych wraz z formularzem wniosku o płatność,</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sprawozdawczości wraz z formularzem sprawozdania z realizacji operacji,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zwrotu grantu,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Zasady archiwizacji dokumentacji.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Postanowienia końcowe wraz z opisem jawności dokumentacji, sposobem ustalania terminów, bezpieczeństwie danych osobowych i sposobie zmiany przedmiotowej procedury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Niniejsza procedura stanowi załącznik do Wniosku o wybór Lokalnej Strategii Rozwoju.</w:t>
            </w:r>
          </w:p>
        </w:tc>
        <w:tc>
          <w:tcPr>
            <w:tcW w:w="26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
                <w:sz w:val="24"/>
                <w:szCs w:val="24"/>
                <w:lang w:eastAsia="pl-PL"/>
              </w:rPr>
            </w:pPr>
            <w:r>
              <w:rPr>
                <w:rFonts w:cs="Times New Roman" w:ascii="Times New Roman" w:hAnsi="Times New Roman"/>
                <w:sz w:val="24"/>
                <w:szCs w:val="24"/>
                <w:lang w:eastAsia="pl-PL"/>
              </w:rPr>
              <w:t>- Zasady zwoływania i organizacji posiedzeń Rady LGD oraz sposób udostępniania do informacji o posiedzeniach Rady LGD,</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Zasady podejmowania decyzji w sprawie oceny wniosków wraz z wzorami dokumentów, dokumentowanie oceny, zasady wynagradzania członków organu decyzyjnego,</w:t>
            </w:r>
          </w:p>
          <w:p>
            <w:pPr>
              <w:pStyle w:val="Normal"/>
              <w:spacing w:lineRule="auto" w:line="240" w:before="0" w:after="0"/>
              <w:rPr>
                <w:rFonts w:ascii="Times New Roman" w:hAnsi="Times New Roman" w:cs="Times New Roman"/>
                <w:b/>
                <w:b/>
                <w:sz w:val="24"/>
                <w:szCs w:val="24"/>
                <w:lang w:eastAsia="pl-PL"/>
              </w:rPr>
            </w:pPr>
            <w:r>
              <w:rPr>
                <w:rFonts w:cs="Times New Roman" w:ascii="Times New Roman" w:hAnsi="Times New Roman"/>
                <w:sz w:val="24"/>
                <w:szCs w:val="24"/>
                <w:lang w:eastAsia="pl-PL"/>
              </w:rPr>
              <w:t>- Regulacje zapewniające zachowanie parytetu sektorowego Rady,</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Regulacje pozwalające uniknąć rozbieżnych ocen w ramach kryteriów,</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Regulacje dotyczące postępowania w przypadku równej liczby głosów,</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Regulacje zapewniające stosowanie tych samych kryteriów w całym procesie wyboru w ramach danego naboru,</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Procedury pozwalające czuwać nad prawidłowym przebiegiem procesu oceny i wyboru operacji oraz nad poprawności dokumentacji i zgodności formalnej,</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xml:space="preserve">- Sposób i terminy podawania do publicznej wiadomości protokołów z posiedzeń dotyczących oceny i wyboru operacji zawierających informacje o wyłączeniach z procesu decyzyjnego, ze wskazaniem których wniosków wyłączenie dotyczy, </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Sposób informowania wnioskodawców o wynikach oceny i możliwości wniesienia protestu od decyzji Rady oraz zasady wniesienia protestu od rozstrzygnięć organu decyzyjnego,</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Procedury zapewniające zachowanie bezstronności,</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t>- Procedury pozwalające na identyfikowanie charakteru powiązań członków organu decyzyjnego z wnioskodawcami /poszczególnymi projektami - wzór rejestru interesów,</w:t>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Niniejszy regulamin stanowi załącznik do Wniosku o wybór Lokalnej Strategii Rozwoju.</w:t>
            </w:r>
          </w:p>
        </w:tc>
        <w:tc>
          <w:tcPr>
            <w:tcW w:w="26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sz w:val="24"/>
                <w:szCs w:val="24"/>
                <w:lang w:eastAsia="pl-PL"/>
              </w:rPr>
              <w:t>- Zasady oceny i wyboru operacji własnej,</w:t>
            </w:r>
          </w:p>
          <w:p>
            <w:pPr>
              <w:pStyle w:val="Normal"/>
              <w:spacing w:lineRule="auto" w:line="240" w:before="0" w:after="0"/>
              <w:rPr>
                <w:rFonts w:ascii="Times New Roman" w:hAnsi="Times New Roman" w:cs="Times New Roman"/>
                <w:bCs/>
                <w:sz w:val="24"/>
                <w:szCs w:val="24"/>
                <w:lang w:eastAsia="pl-PL"/>
              </w:rPr>
            </w:pPr>
            <w:r>
              <w:rPr>
                <w:rFonts w:cs="Times New Roman" w:ascii="Times New Roman" w:hAnsi="Times New Roman"/>
                <w:bCs/>
                <w:sz w:val="24"/>
                <w:szCs w:val="24"/>
                <w:lang w:eastAsia="pl-PL"/>
              </w:rPr>
              <w:t>- Zasady ogłoszenia zamiaru realizacji operacji własnej,</w:t>
            </w:r>
          </w:p>
          <w:p>
            <w:pPr>
              <w:pStyle w:val="Normal"/>
              <w:spacing w:lineRule="auto" w:line="240" w:before="0" w:after="0"/>
              <w:rPr>
                <w:rFonts w:ascii="Times New Roman" w:hAnsi="Times New Roman" w:cs="Times New Roman"/>
                <w:bCs/>
                <w:sz w:val="24"/>
                <w:szCs w:val="24"/>
                <w:lang w:eastAsia="pl-PL"/>
              </w:rPr>
            </w:pPr>
            <w:r>
              <w:rPr>
                <w:rFonts w:cs="Times New Roman" w:ascii="Times New Roman" w:hAnsi="Times New Roman"/>
                <w:bCs/>
                <w:sz w:val="24"/>
                <w:szCs w:val="24"/>
                <w:lang w:eastAsia="pl-PL"/>
              </w:rPr>
              <w:t>- Zasady zgłaszania zamiaru realizacji operacji o tematyce odpowiadającej operacji własnej,</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organizacji naborów wniosków oraz ich oceny,</w:t>
            </w:r>
          </w:p>
          <w:p>
            <w:pPr>
              <w:pStyle w:val="Normal"/>
              <w:spacing w:lineRule="auto" w:line="240" w:before="0" w:after="0"/>
              <w:rPr>
                <w:rFonts w:ascii="Times New Roman" w:hAnsi="Times New Roman" w:cs="Times New Roman"/>
                <w:b/>
                <w:b/>
                <w:bCs/>
                <w:color w:val="000000"/>
                <w:sz w:val="24"/>
                <w:szCs w:val="24"/>
                <w:lang w:eastAsia="pl-PL"/>
              </w:rPr>
            </w:pPr>
            <w:r>
              <w:rPr>
                <w:rFonts w:cs="Times New Roman" w:ascii="Times New Roman" w:hAnsi="Times New Roman"/>
                <w:bCs/>
                <w:sz w:val="24"/>
                <w:szCs w:val="24"/>
                <w:lang w:eastAsia="pl-PL"/>
              </w:rPr>
              <w:t>- Sposób udostępnienia procedur dotyczących operacji własnej,</w:t>
            </w:r>
            <w:r>
              <w:rPr>
                <w:rFonts w:cs="Times New Roman" w:ascii="Times New Roman" w:hAnsi="Times New Roman"/>
                <w:bCs/>
                <w:color w:val="000000"/>
                <w:sz w:val="24"/>
                <w:szCs w:val="24"/>
                <w:lang w:eastAsia="pl-PL"/>
              </w:rPr>
              <w:br/>
              <w:t>- Zasady przekazywania dokumentacji do Samorządu Województwa.</w:t>
            </w:r>
          </w:p>
        </w:tc>
      </w:tr>
    </w:tbl>
    <w:p>
      <w:pPr>
        <w:pStyle w:val="Normal"/>
        <w:tabs>
          <w:tab w:val="clear" w:pos="708"/>
          <w:tab w:val="left" w:pos="536" w:leader="none"/>
        </w:tabs>
        <w:suppressAutoHyphens w:val="true"/>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4"/>
        </w:numPr>
        <w:shd w:fill="FFFFFF" w:val="clear"/>
        <w:spacing w:lineRule="auto" w:line="240" w:before="60" w:after="0"/>
        <w:rPr>
          <w:rFonts w:ascii="Times New Roman" w:hAnsi="Times New Roman" w:eastAsia="Calibri" w:cs="Times New Roman"/>
          <w:b/>
          <w:b/>
          <w:color w:val="000000"/>
          <w:kern w:val="0"/>
          <w:sz w:val="24"/>
          <w:szCs w:val="24"/>
          <w:lang w:eastAsia="en-US"/>
        </w:rPr>
      </w:pPr>
      <w:r>
        <w:rPr>
          <w:rFonts w:eastAsia="Calibri" w:cs="Times New Roman" w:ascii="Times New Roman" w:hAnsi="Times New Roman"/>
          <w:b/>
          <w:color w:val="000000"/>
          <w:kern w:val="0"/>
          <w:sz w:val="24"/>
          <w:szCs w:val="24"/>
          <w:lang w:eastAsia="en-US"/>
        </w:rPr>
        <w:t>FORMUŁOWANIE KRYTERIÓW WYBORU OPERACJI</w:t>
      </w:r>
    </w:p>
    <w:p>
      <w:pPr>
        <w:pStyle w:val="Normal"/>
        <w:jc w:val="both"/>
        <w:rPr>
          <w:rFonts w:ascii="Times New Roman" w:hAnsi="Times New Roman" w:cs="Times New Roman"/>
          <w:sz w:val="24"/>
          <w:szCs w:val="24"/>
        </w:rPr>
      </w:pPr>
      <w:r>
        <w:rPr>
          <w:rFonts w:cs="Times New Roman" w:ascii="Times New Roman" w:hAnsi="Times New Roman"/>
          <w:sz w:val="24"/>
          <w:szCs w:val="24"/>
        </w:rPr>
        <w:t>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proceduralne. Dołożono wszelkich starań aby przygotowane kryteria nie budziły wątpliwości interpretacyjnych. Kryteria oceny operacji zostały szczegółowo opisane w Procedurach wyboru i oceny operacji i grantobiorców</w:t>
      </w:r>
      <w:r>
        <w:rPr>
          <w:rFonts w:cs="Times New Roman" w:ascii="Times New Roman" w:hAnsi="Times New Roman"/>
          <w:i/>
          <w:sz w:val="24"/>
          <w:szCs w:val="24"/>
        </w:rPr>
        <w:t>,</w:t>
      </w:r>
      <w:r>
        <w:rPr>
          <w:rFonts w:cs="Times New Roman" w:ascii="Times New Roman" w:hAnsi="Times New Roman"/>
          <w:sz w:val="24"/>
          <w:szCs w:val="24"/>
        </w:rPr>
        <w:t xml:space="preserve"> stanowiących załączniki do wniosku o wybór strategii rozwoju lokalnego kierowanego przez społeczność lokalną. </w:t>
      </w:r>
      <w:r>
        <w:rPr>
          <w:rFonts w:cs="Times New Roman" w:ascii="Times New Roman" w:hAnsi="Times New Roman"/>
          <w:color w:val="000000"/>
          <w:sz w:val="24"/>
          <w:szCs w:val="24"/>
        </w:rPr>
        <w:t xml:space="preserve">Zaplanowane kryteria, powiązane są z diagnozą obszaru, w tym analizą SWOT oraz zaplanowanymi do zrealizowania w ramach realizacji LSR wskaźnikami. </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W przypadku operacji związanych z zakładaniem działalności lub rozwijaniem działalności najwyżej punktowane są  kryteria związane z lokalnym rynkiem pracy czyli te, które generują więcej niż 1 miejsce pracy oraz przyczyniają się do zatrudnienia lub samo zatrudnienie osób z grupy defaworyzowanej. Wysoko punktowany jest również zakres działalności ukierunkowany na turystykę, kwalifikacje i doświadczenie wnioskodawcy odpowiednie do przedmiotu operacji  oraz  innowacyjność operacji, która koresponduje z założonymi celami LSR. Preferowane będą operacje które przyczynią się do zastosowania rozwiązań sprzyjających ochronie środowiska lub klimatu np. wykorzystujące OZE. </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defaworyzowanych.  Preferowane będą również operacje, które są realizowane w partnerstwie. Na ocenę znaczny wpływ mają również kryteria dotyczące wysokości wnioskowanej kwoty i wkładu własnego.</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trike/>
          <w:color w:val="FF0000"/>
          <w:sz w:val="24"/>
          <w:szCs w:val="24"/>
        </w:rPr>
      </w:pPr>
      <w:r>
        <w:rPr>
          <w:rFonts w:cs="Times New Roman" w:ascii="Times New Roman" w:hAnsi="Times New Roman"/>
          <w:color w:val="000000"/>
          <w:sz w:val="24"/>
          <w:szCs w:val="24"/>
        </w:rPr>
        <w:t>Zasięg oddziaływania, wykorzystanie lokalnych zasobów, wysokość wkładu własnego a także wielojęzyczność opracowań, to istotne kryteria zaplanowane dla operacji związanych z</w:t>
      </w:r>
      <w:r>
        <w:rPr>
          <w:rFonts w:cs="Times New Roman" w:ascii="Times New Roman" w:hAnsi="Times New Roman"/>
          <w:sz w:val="24"/>
          <w:szCs w:val="24"/>
        </w:rPr>
        <w:t xml:space="preserve"> promocją i informacją. Preferowane będą również operacje, które są realizowane w partnerstwie, a także te w ramach których elektroniczne wersje opracowań zostaną  udostępnione  Lokalnej Grupie Działania. </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Ważnymi kryteriami przy ocenie operacji z zakresu Infrastruktury turystycznej i rekreacyjnej jest wkład własny, wnioskowana kwota pomocy oraz zasięg oddziaływania,  pod uwagę brane będzie również uwzględnienie potrzeb grup defaworyzowanych, przeprowadzenie konsultacji ze społecznością lokalną a także miejsce zagospodarowania terenu. Preferowane będą operacje realizowane w partnerstwie i promujące lokalne zasoby. Karata oceny zawiera również obowiązkowe kryterium Programowe jakim jest kryterium preferencyjne dla operacji realizowanych w miejscowościach zamieszkanych przez mniej niż 5 tys. mieszkańców.  </w:t>
      </w:r>
    </w:p>
    <w:p>
      <w:pPr>
        <w:pStyle w:val="Normal"/>
        <w:shd w:fill="FFFFFF" w:val="clear"/>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color w:val="000000"/>
          <w:sz w:val="24"/>
          <w:szCs w:val="24"/>
        </w:rPr>
        <w:t>Istotnym kryterium przy wszystkich przedsięwzięciach jest uczestnictwo wnioskodawców w szkoleniach organizowanych przez LGD jak i konsultacjach indywidualnych w Biurze LGD, które pozwolą podnieść wiedzę na temat procedur  i warunków dofinansowania operacji, a tym samym lepiej przygotować wnioski.</w:t>
      </w:r>
    </w:p>
    <w:p>
      <w:pPr>
        <w:pStyle w:val="Normal"/>
        <w:shd w:fill="FFFFFF" w:val="clear"/>
        <w:tabs>
          <w:tab w:val="clear" w:pos="708"/>
          <w:tab w:val="left" w:pos="10080" w:leader="none"/>
          <w:tab w:val="left" w:pos="10260" w:leader="none"/>
        </w:tabs>
        <w:spacing w:lineRule="auto" w:line="240" w:before="60" w:after="0"/>
        <w:ind w:right="22" w:hanging="0"/>
        <w:jc w:val="both"/>
        <w:rPr/>
      </w:pPr>
      <w:r>
        <w:rPr>
          <w:rFonts w:cs="Times New Roman" w:ascii="Times New Roman" w:hAnsi="Times New Roman"/>
          <w:sz w:val="24"/>
          <w:szCs w:val="24"/>
        </w:rPr>
        <w:t xml:space="preserve">Zastosowano głównie </w:t>
      </w:r>
      <w:r>
        <w:rPr>
          <w:rFonts w:cs="Times New Roman" w:ascii="Times New Roman" w:hAnsi="Times New Roman"/>
          <w:sz w:val="24"/>
          <w:szCs w:val="24"/>
          <w:u w:val="single"/>
        </w:rPr>
        <w:t>kryteria mierzalne</w:t>
      </w:r>
      <w:r>
        <w:rPr>
          <w:rFonts w:cs="Times New Roman" w:ascii="Times New Roman" w:hAnsi="Times New Roman"/>
          <w:sz w:val="24"/>
          <w:szCs w:val="24"/>
        </w:rPr>
        <w:t xml:space="preserve">, określono wymogi konieczne do uzyskania danej liczby punktów. </w:t>
      </w:r>
      <w:r>
        <w:rPr>
          <w:rFonts w:cs="Times New Roman" w:ascii="Times New Roman" w:hAnsi="Times New Roman"/>
          <w:sz w:val="24"/>
          <w:szCs w:val="24"/>
          <w:u w:val="single"/>
        </w:rPr>
        <w:t>Kryterium jakościowym</w:t>
      </w:r>
      <w:r>
        <w:rPr>
          <w:rFonts w:cs="Times New Roman" w:ascii="Times New Roman" w:hAnsi="Times New Roman"/>
          <w:sz w:val="24"/>
          <w:szCs w:val="24"/>
        </w:rPr>
        <w:t xml:space="preserve"> jest innowacyjność operacji, w tym przypadku wnioskodawca musi uwodnić lub uzasadnić to kryterium. </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Obowiązującym  załącznikiem do wniosku  o przyznanie pomocy  będzie „KARTA OPISU OPERACJI”, w której  wnioskodawca ustosunkuje się do kryterium wyboru operacji pod względem zgodności  z LSR oraz do oceny według lokalnych kryteriów.</w:t>
      </w:r>
    </w:p>
    <w:p>
      <w:pPr>
        <w:pStyle w:val="Default"/>
        <w:jc w:val="both"/>
        <w:rPr>
          <w:b/>
          <w:b/>
          <w:bCs/>
        </w:rPr>
      </w:pPr>
      <w:r>
        <w:rPr/>
        <w:t>Wszelkie zmiany kryteriów oceny operacji dokonywane będą w oparciu o diagnozę obszaru, w tym zdefiniowane problemy oraz wskaźniki zaplanowane do osiągnięcia w ramach realizacji strategii. Procedura dokonywania zmian kryteriów oceny została opisana w dokumencie „</w:t>
      </w:r>
      <w:r>
        <w:rPr>
          <w:bCs/>
        </w:rPr>
        <w:t>PROCEDURA USTALANIA I ZMIANY KRYTERIÓW WRAZ Z KRYTERIAMI WYBORU OPERACJI I GRANTOBIORCÓW</w:t>
      </w:r>
      <w:r>
        <w:rPr/>
        <w:t>”, który  zakłada zaangażowanie społeczności lokalnej w ten proces.</w:t>
      </w:r>
    </w:p>
    <w:p>
      <w:pPr>
        <w:pStyle w:val="Akapitzlist"/>
        <w:numPr>
          <w:ilvl w:val="1"/>
          <w:numId w:val="14"/>
        </w:numPr>
        <w:tabs>
          <w:tab w:val="clear" w:pos="708"/>
          <w:tab w:val="left" w:pos="426" w:leader="none"/>
        </w:tabs>
        <w:suppressAutoHyphens w:val="true"/>
        <w:spacing w:lineRule="auto" w:line="240" w:before="60" w:after="0"/>
        <w:ind w:left="426" w:hanging="426"/>
        <w:contextualSpacing/>
        <w:jc w:val="both"/>
        <w:rPr>
          <w:rFonts w:ascii="Times New Roman" w:hAnsi="Times New Roman" w:cs="Times New Roman"/>
          <w:sz w:val="24"/>
          <w:szCs w:val="24"/>
        </w:rPr>
      </w:pPr>
      <w:r>
        <w:rPr>
          <w:rFonts w:cs="Times New Roman" w:ascii="Times New Roman" w:hAnsi="Times New Roman"/>
          <w:b/>
          <w:sz w:val="24"/>
          <w:szCs w:val="24"/>
        </w:rPr>
        <w:t>Ustalanie zasad w zakresie określenia kwoty wsparcia dla danej operacji:</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b/>
          <w:b/>
          <w:strike/>
          <w:sz w:val="24"/>
          <w:szCs w:val="24"/>
          <w:u w:val="single"/>
        </w:rPr>
      </w:pPr>
      <w:r>
        <w:rPr>
          <w:rFonts w:cs="Times New Roman" w:ascii="Times New Roman" w:hAnsi="Times New Roman"/>
          <w:b/>
          <w:sz w:val="24"/>
          <w:szCs w:val="24"/>
        </w:rPr>
        <w:t xml:space="preserve">1) </w:t>
      </w:r>
      <w:r>
        <w:rPr>
          <w:rFonts w:cs="Times New Roman" w:ascii="Times New Roman" w:hAnsi="Times New Roman"/>
          <w:b/>
          <w:sz w:val="24"/>
          <w:szCs w:val="24"/>
          <w:u w:val="single"/>
        </w:rPr>
        <w:t>Zakładanie działalności gospodarczej:</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Pomoc przyznawana jest jeżeli podmiot ubiegający się o jej przyznanie:</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nie podlega ubezpieczeniu KRUS  i z mocy ustawy w pełnym zakresie, chyba, że podejmują działalność jako produkcja artykułów spożywczych lub produkcja napojów,</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cs="Times New Roman" w:ascii="Times New Roman" w:hAnsi="Times New Roman"/>
          <w:sz w:val="24"/>
          <w:szCs w:val="24"/>
        </w:rPr>
        <w:t>w okresie 3 miesięcy poprzedzających dzień złożenia wniosku o przyznanie pomocy nie wykonywał działalności gospodarczej, do której stosuje się przepisy ustawy z dnia 6 marca 2018 roku – Prawo przedsiębiorców – nie została mu dotychczas udzielona pomoc na operacje w tym zakresie.</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koszty planowane do poniesienia w ramach operacji mieszczą się w zakresie kosztów kwalifikowalnych, o których mowa w § 17 ust. 1 </w:t>
      </w:r>
      <w:r>
        <w:rPr>
          <w:rFonts w:cs="Times New Roman" w:ascii="Times New Roman" w:hAnsi="Times New Roman"/>
          <w:sz w:val="24"/>
          <w:szCs w:val="24"/>
        </w:rPr>
        <w:t xml:space="preserve"> </w:t>
      </w:r>
      <w:r>
        <w:rPr>
          <w:rFonts w:cs="Times New Roman" w:ascii="Times New Roman" w:hAnsi="Times New Roman"/>
          <w:sz w:val="24"/>
          <w:szCs w:val="24"/>
          <w:shd w:fill="FFFFFF" w:val="clear"/>
        </w:rPr>
        <w:t xml:space="preserve">Rozporządzenia Ministra Rolnictwa i Rozwoju Wsi z dnia 24 września 2015 r. w sprawie </w:t>
      </w:r>
      <w:r>
        <w:rPr>
          <w:rFonts w:cs="Times New Roman" w:ascii="Times New Roman" w:hAnsi="Times New Roman"/>
          <w:bCs/>
          <w:sz w:val="24"/>
          <w:szCs w:val="24"/>
          <w:shd w:fill="FFFFFF" w:val="clear"/>
        </w:rPr>
        <w:t xml:space="preserve">szczegółowych warunków i trybu przyznawania pomocy finansowej w ramach poddziałania „Wsparcie na wdrażanie operacji w ramach strategii rozwoju lokalnego kierowanego przez społeczność” objętego Programem Rozwoju Obszarów Wiejskich na lata 2014–2020 </w:t>
      </w:r>
      <w:r>
        <w:rPr>
          <w:rFonts w:eastAsia="TimesNewRoman" w:cs="Times New Roman" w:ascii="Times New Roman" w:hAnsi="Times New Roman"/>
          <w:sz w:val="24"/>
          <w:szCs w:val="24"/>
        </w:rPr>
        <w:t>oraz nie są kosztami inwestycji polegającej na budowie albo przebudowie  liniowych obiektów budowlanych w części dotyczącej realizacji odcinków zlokalizowanych poza obszarem wiejskim objętym LSR,</w:t>
      </w:r>
    </w:p>
    <w:p>
      <w:pPr>
        <w:pStyle w:val="Normal"/>
        <w:numPr>
          <w:ilvl w:val="2"/>
          <w:numId w:val="45"/>
        </w:numPr>
        <w:shd w:fill="FFFFFF" w:val="clear"/>
        <w:spacing w:lineRule="auto" w:line="240" w:before="60" w:after="0"/>
        <w:ind w:left="787" w:right="23" w:hanging="360"/>
        <w:jc w:val="both"/>
        <w:rPr>
          <w:rFonts w:ascii="Times New Roman" w:hAnsi="Times New Roman" w:cs="Times New Roman"/>
          <w:b/>
          <w:b/>
          <w:sz w:val="24"/>
          <w:szCs w:val="24"/>
          <w:u w:val="single"/>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biznesplan jest racjonalny i uzasadniony zakresem operacji, w szczególności , jeżeli suma kosztów planowanych do poniesienia w ramach tej operacji, ustalona z uwzględnieniem wartości rynkowej tych kosztów i  jest nie niższa niż 70% kwoty, jaka można przyznać na tę operacje, </w:t>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Koniecznym jest, aby planowana operacja zakładała podjęcie we własnym imieniu działalności gospodarczej, do której stosuje się przepisy  ustawy z dnia 6 marca 2018r.  Prawo przedsiębiorców oraz:</w:t>
      </w:r>
    </w:p>
    <w:p>
      <w:pPr>
        <w:pStyle w:val="Akapitzlist"/>
        <w:numPr>
          <w:ilvl w:val="0"/>
          <w:numId w:val="47"/>
        </w:numPr>
        <w:autoSpaceDE w:val="false"/>
        <w:spacing w:lineRule="auto" w:line="240" w:before="120" w:after="0"/>
        <w:ind w:left="851" w:hanging="360"/>
        <w:contextualSpacing/>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zgłoszenie podmiotu ubiegającego się o przyznanie pomocy do ubezpieczenia emerytalnego, ubezpieczeń rentowych i ubezpieczenia wypadkowego na podstawie przepisów o systemie ubezpieczeń społecznych z tytułu wykonywania tej działalności i podlegania tym ubezpieczeniom</w:t>
      </w:r>
      <w:r>
        <w:rPr>
          <w:rFonts w:eastAsia="TimesNewRoman" w:cs="Times New Roman" w:ascii="Times New Roman" w:hAnsi="Times New Roman"/>
          <w:sz w:val="24"/>
          <w:szCs w:val="24"/>
        </w:rPr>
        <w:t>, lub</w:t>
      </w:r>
    </w:p>
    <w:p>
      <w:pPr>
        <w:pStyle w:val="Akapitzlist"/>
        <w:numPr>
          <w:ilvl w:val="0"/>
          <w:numId w:val="22"/>
        </w:numPr>
        <w:autoSpaceDE w:val="false"/>
        <w:spacing w:lineRule="auto" w:line="240" w:before="120" w:after="0"/>
        <w:ind w:left="851" w:hanging="360"/>
        <w:contextualSpacing/>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utworzenie co najmniej jednego miejsca pracy w przeliczeniu na pełne etaty średnioroczne i jest to uzasadnione zakresem realizacji operacji, a osoba, dla której zostanie utworzone to miejsce pracy, zostanie zatrudniona na podstawie umowy  o pracę, </w:t>
      </w:r>
    </w:p>
    <w:p>
      <w:pPr>
        <w:pStyle w:val="Akapitzlist"/>
        <w:numPr>
          <w:ilvl w:val="0"/>
          <w:numId w:val="22"/>
        </w:numPr>
        <w:autoSpaceDE w:val="false"/>
        <w:spacing w:lineRule="auto" w:line="240" w:before="120" w:after="0"/>
        <w:ind w:left="851" w:hanging="360"/>
        <w:contextualSpacing/>
        <w:jc w:val="both"/>
        <w:rPr>
          <w:rFonts w:ascii="Times New Roman" w:hAnsi="Times New Roman" w:eastAsia="TimesNewRoman" w:cs="Times New Roman"/>
          <w:sz w:val="24"/>
          <w:szCs w:val="24"/>
        </w:rPr>
      </w:pPr>
      <w:r>
        <w:rPr>
          <w:rFonts w:eastAsia="Times New Roman" w:cs="Times New Roman" w:ascii="Times New Roman" w:hAnsi="Times New Roman"/>
          <w:sz w:val="24"/>
          <w:szCs w:val="24"/>
        </w:rPr>
        <w:t xml:space="preserve">  </w:t>
      </w:r>
      <w:r>
        <w:rPr>
          <w:rFonts w:eastAsia="TimesNewRoman" w:cs="Times New Roman" w:ascii="Times New Roman" w:hAnsi="Times New Roman"/>
          <w:sz w:val="24"/>
          <w:szCs w:val="24"/>
        </w:rPr>
        <w:t xml:space="preserve">utrzymanie miejsca pracy, o którym mowa powyżej </w:t>
      </w:r>
      <w:r>
        <w:rPr>
          <w:rFonts w:cs="Times New Roman" w:ascii="Times New Roman" w:hAnsi="Times New Roman"/>
          <w:sz w:val="24"/>
          <w:szCs w:val="24"/>
        </w:rPr>
        <w:t>przez łącznie co najmniej 2 lat w okresie od dnia zawarcia umowy do dnia, w którym upływają 2 lata od dnia wypłaty płatności końcowej.</w:t>
      </w:r>
    </w:p>
    <w:p>
      <w:pPr>
        <w:pStyle w:val="Akapitzlist"/>
        <w:autoSpaceDE w:val="false"/>
        <w:ind w:left="413" w:hanging="0"/>
        <w:rPr>
          <w:rFonts w:ascii="Times New Roman" w:hAnsi="Times New Roman" w:eastAsia="TimesNewRoman" w:cs="Times New Roman"/>
          <w:strike/>
          <w:sz w:val="24"/>
          <w:szCs w:val="24"/>
        </w:rPr>
      </w:pPr>
      <w:r>
        <w:rPr>
          <w:rFonts w:eastAsia="TimesNewRoman" w:cs="Times New Roman" w:ascii="Times New Roman" w:hAnsi="Times New Roman"/>
          <w:strike/>
          <w:sz w:val="24"/>
          <w:szCs w:val="24"/>
        </w:rPr>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Pomoc na operację w zakresie podejmowania działalności gospodarczej nie przysługuje, jeżeli działalność gospodarcza będąca przedmiotem tej operacji jest sklasyfikowana w przepisach rozporządzenia Rady Ministrów z dnia 24 grudnia 2007 r. w sprawie Polskiej Klasyfikacji Działalności (PKD) jako:</w:t>
      </w:r>
    </w:p>
    <w:p>
      <w:pPr>
        <w:pStyle w:val="Akapitzlist"/>
        <w:numPr>
          <w:ilvl w:val="0"/>
          <w:numId w:val="48"/>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rolnictwo i następująca po zbiorach;</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górnictwo i wydobywanie;</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górnictwo i wydobywanie;</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przetwarzanie i konserwowanie ryb, skorupiaków i mięczaków;</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wytwarzanie i przetwarzanie koksu i produktów rafinacji ropy naftowej;</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chemikaliów oraz wyrobów chemicznych;</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podstawowych substancji farmaceutycznych oraz leków i pozostałych wyrobów farmaceutycznych;</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metali;</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pojazdów samochodowych, przyczep i naczep oraz motocykli;</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transport lotniczy i kolejowy;</w:t>
      </w:r>
    </w:p>
    <w:p>
      <w:pPr>
        <w:pStyle w:val="Akapitzlist"/>
        <w:numPr>
          <w:ilvl w:val="0"/>
          <w:numId w:val="36"/>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gospodarka magazynowa.</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Brak kapitału początkowego to główny problem dla osób które pragną założyć własną firmę w szczególności jeżeli należą do jednej z grup defaworyzowanych.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Pr>
          <w:rFonts w:cs="Times New Roman" w:ascii="Times New Roman" w:hAnsi="Times New Roman"/>
          <w:b/>
          <w:sz w:val="24"/>
          <w:szCs w:val="24"/>
          <w:u w:val="single"/>
        </w:rPr>
        <w:t>20.000 €</w:t>
      </w:r>
      <w:r>
        <w:rPr>
          <w:rFonts w:cs="Times New Roman" w:ascii="Times New Roman" w:hAnsi="Times New Roman"/>
          <w:sz w:val="24"/>
          <w:szCs w:val="24"/>
        </w:rPr>
        <w:t xml:space="preserve"> (</w:t>
      </w:r>
      <w:r>
        <w:rPr>
          <w:rFonts w:cs="Times New Roman" w:ascii="Times New Roman" w:hAnsi="Times New Roman"/>
          <w:b/>
          <w:sz w:val="24"/>
          <w:szCs w:val="24"/>
          <w:u w:val="single"/>
        </w:rPr>
        <w:t>80.000 zł.)</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b/>
          <w:sz w:val="24"/>
          <w:szCs w:val="24"/>
        </w:rPr>
        <w:t xml:space="preserve">2) </w:t>
      </w:r>
      <w:r>
        <w:rPr>
          <w:rFonts w:cs="Times New Roman" w:ascii="Times New Roman" w:hAnsi="Times New Roman"/>
          <w:b/>
          <w:sz w:val="24"/>
          <w:szCs w:val="24"/>
          <w:u w:val="single"/>
        </w:rPr>
        <w:t>Rozwój działalności gospodarczej:</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sz w:val="24"/>
          <w:szCs w:val="24"/>
        </w:rPr>
      </w:pPr>
      <w:r>
        <w:rPr>
          <w:rFonts w:cs="Times New Roman" w:ascii="Times New Roman" w:hAnsi="Times New Roman"/>
          <w:sz w:val="24"/>
          <w:szCs w:val="24"/>
        </w:rPr>
        <w:t>Przedsięwzięcie jest adresowane do  mikro i małych przedsiębiorstw (firm działających  na lokalnym rynku).  Jego realizacja umożliwi wsparcie przedsiębiorców z obszaru LGD, którzy planują stworzenie nowego miejsca pracy (w przeliczeniu na pełne etaty  średnioroczne).</w:t>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Koniecznym jest, aby planowana operacja zakładała:</w:t>
      </w:r>
    </w:p>
    <w:p>
      <w:pPr>
        <w:pStyle w:val="Akapitzlist"/>
        <w:numPr>
          <w:ilvl w:val="7"/>
          <w:numId w:val="43"/>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 xml:space="preserve">utworzenie co najmniej jednego miejsca pracy w przeliczeniu na pełne etaty średnioroczne </w:t>
        <w:br/>
        <w:t xml:space="preserve">i jest to uzasadnione zakresem realizacji operacji, a osoba, dla której zostanie utworzone to miejsce pracy, zostanie zatrudniona na podstawie umowy o pracę lub spółdzielczej umowy </w:t>
        <w:br/>
        <w:t>o pracę,</w:t>
      </w:r>
    </w:p>
    <w:p>
      <w:pPr>
        <w:pStyle w:val="Akapitzlist"/>
        <w:numPr>
          <w:ilvl w:val="7"/>
          <w:numId w:val="43"/>
        </w:numPr>
        <w:autoSpaceDE w:val="false"/>
        <w:spacing w:lineRule="auto" w:line="240" w:before="120" w:after="0"/>
        <w:ind w:left="1134" w:hanging="360"/>
        <w:contextualSpacing/>
        <w:jc w:val="both"/>
        <w:rPr/>
      </w:pPr>
      <w:r>
        <w:rPr>
          <w:rFonts w:cs="Times New Roman" w:ascii="Times New Roman" w:hAnsi="Times New Roman"/>
          <w:sz w:val="24"/>
          <w:szCs w:val="24"/>
        </w:rPr>
        <w:t>utrzymanie co najmniej jednego miejsca pracy, o którym jest mowa powyżej, w przeliczeniu na pełne etaty średnioroczne, do dnia, w którym upłyną 3 lata od dnia wypłaty płatności końcowej;</w:t>
      </w:r>
      <w:r>
        <w:rPr>
          <w:rFonts w:eastAsia="TimesNewRoman" w:cs="Times New Roman" w:ascii="Times New Roman" w:hAnsi="Times New Roman"/>
          <w:strike/>
          <w:sz w:val="24"/>
          <w:szCs w:val="24"/>
        </w:rPr>
        <w:t xml:space="preserve"> </w:t>
      </w:r>
    </w:p>
    <w:p>
      <w:pPr>
        <w:pStyle w:val="Akapitzlist"/>
        <w:numPr>
          <w:ilvl w:val="7"/>
          <w:numId w:val="43"/>
        </w:numPr>
        <w:autoSpaceDE w:val="false"/>
        <w:spacing w:lineRule="auto" w:line="240" w:before="120" w:after="0"/>
        <w:ind w:left="1134" w:hanging="360"/>
        <w:contextualSpacing/>
        <w:jc w:val="both"/>
        <w:rPr/>
      </w:pPr>
      <w:r>
        <w:rPr>
          <w:rFonts w:eastAsia="TimesNewRoman" w:cs="Times New Roman" w:ascii="Times New Roman" w:hAnsi="Times New Roman"/>
          <w:sz w:val="24"/>
          <w:szCs w:val="24"/>
        </w:rPr>
        <w:t xml:space="preserve">utworzenie miejsca pracy w wyniku realizacji danej operacji nie może być uznane </w:t>
        <w:br/>
        <w:t>za spełnienie warunku, o którym mowa w lit. a w odniesieniu do innej operacji,</w:t>
      </w:r>
    </w:p>
    <w:p>
      <w:pPr>
        <w:pStyle w:val="Akapitzlist"/>
        <w:autoSpaceDE w:val="false"/>
        <w:ind w:left="1134" w:hanging="0"/>
        <w:rPr>
          <w:rFonts w:ascii="Times New Roman" w:hAnsi="Times New Roman" w:eastAsia="TimesNewRoman" w:cs="Times New Roman"/>
          <w:sz w:val="24"/>
          <w:szCs w:val="24"/>
        </w:rPr>
      </w:pPr>
      <w:r>
        <w:rPr>
          <w:rFonts w:eastAsia="TimesNewRoman" w:cs="Times New Roman" w:ascii="Times New Roman" w:hAnsi="Times New Roman"/>
          <w:sz w:val="24"/>
          <w:szCs w:val="24"/>
        </w:rPr>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Pomoc na rozwijanie działalności gospodarczej jest przyznawana, jeżeli:</w:t>
      </w:r>
    </w:p>
    <w:p>
      <w:pPr>
        <w:pStyle w:val="Akapitzlist"/>
        <w:numPr>
          <w:ilvl w:val="7"/>
          <w:numId w:val="44"/>
        </w:numPr>
        <w:autoSpaceDE w:val="false"/>
        <w:spacing w:lineRule="auto" w:line="240" w:before="120" w:after="0"/>
        <w:ind w:left="1134" w:hanging="360"/>
        <w:contextualSpacing/>
        <w:jc w:val="both"/>
        <w:rPr>
          <w:rFonts w:ascii="Times New Roman" w:hAnsi="Times New Roman" w:eastAsia="TimesNewRoman" w:cs="Times New Roman"/>
          <w:strike/>
          <w:sz w:val="24"/>
          <w:szCs w:val="24"/>
        </w:rPr>
      </w:pPr>
      <w:r>
        <w:rPr>
          <w:rFonts w:cs="Times New Roman" w:ascii="Times New Roman" w:hAnsi="Times New Roman"/>
          <w:sz w:val="24"/>
          <w:szCs w:val="24"/>
        </w:rPr>
        <w:t>podmiot ubiegający się o jej przyznanie w okresie 3 lat poprzedzających dzień złożenia wniosku o przyznanie pomocy wykonywał łącznie co najmniej przez 365 dni działalność gospodarczą, do której stosuje się przepisy ustawy z dnia 6 marca 2018 r. - Prawo przedsiębiorców, oraz nadal wykonuje tę działalność;</w:t>
      </w:r>
    </w:p>
    <w:p>
      <w:pPr>
        <w:pStyle w:val="Akapitzlist"/>
        <w:numPr>
          <w:ilvl w:val="7"/>
          <w:numId w:val="44"/>
        </w:numPr>
        <w:autoSpaceDE w:val="false"/>
        <w:spacing w:lineRule="auto" w:line="240" w:before="120" w:after="0"/>
        <w:ind w:left="1134" w:hanging="360"/>
        <w:contextualSpacing/>
        <w:jc w:val="both"/>
        <w:rPr/>
      </w:pPr>
      <w:r>
        <w:rPr>
          <w:rFonts w:eastAsia="TimesNewRoman" w:cs="Times New Roman" w:ascii="Times New Roman" w:hAnsi="Times New Roman"/>
          <w:sz w:val="24"/>
          <w:szCs w:val="24"/>
        </w:rPr>
        <w:t>podmiot ubiegający się o przyznanie wsparcia, nie otrzymał  dotychczas pomocy na operację w zakresie rozpoczęcia działalności gospodarczej</w:t>
      </w:r>
      <w:r>
        <w:rPr>
          <w:rStyle w:val="Odwoanieprzypisudolnego"/>
          <w:rStyle w:val="Zakotwiczenieprzypisudolnego"/>
          <w:rFonts w:eastAsia="TimesNewRoman" w:cs="Times New Roman" w:ascii="Times New Roman" w:hAnsi="Times New Roman"/>
          <w:sz w:val="24"/>
          <w:szCs w:val="24"/>
        </w:rPr>
        <w:footnoteReference w:id="4"/>
      </w:r>
      <w:r>
        <w:rPr>
          <w:rFonts w:eastAsia="TimesNewRoman" w:cs="Times New Roman" w:ascii="Times New Roman" w:hAnsi="Times New Roman"/>
          <w:sz w:val="24"/>
          <w:szCs w:val="24"/>
        </w:rPr>
        <w:t xml:space="preserve"> albo upłynęło co najmniej 2 lata od dnia przyznania temu podmiotowi pomocy w/w operację,</w:t>
      </w:r>
    </w:p>
    <w:p>
      <w:pPr>
        <w:pStyle w:val="Akapitzlist"/>
        <w:numPr>
          <w:ilvl w:val="7"/>
          <w:numId w:val="44"/>
        </w:numPr>
        <w:autoSpaceDE w:val="false"/>
        <w:spacing w:lineRule="auto" w:line="240" w:before="120" w:after="0"/>
        <w:ind w:left="1134" w:hanging="360"/>
        <w:contextualSpacing/>
        <w:jc w:val="both"/>
        <w:rPr/>
      </w:pPr>
      <w:r>
        <w:rPr>
          <w:rFonts w:eastAsia="TimesNewRoman" w:cs="Times New Roman" w:ascii="Times New Roman" w:hAnsi="Times New Roman"/>
          <w:sz w:val="24"/>
          <w:szCs w:val="24"/>
        </w:rPr>
        <w:t xml:space="preserve">podmiot ubiegający się o przyznanie wsparcia, nie otrzymał  dotychczas pomoc na operację w zakresie </w:t>
      </w:r>
      <w:r>
        <w:rPr>
          <w:rFonts w:cs="Times New Roman" w:ascii="Times New Roman" w:hAnsi="Times New Roman"/>
          <w:sz w:val="24"/>
          <w:szCs w:val="24"/>
        </w:rPr>
        <w:t>tworzenie lub rozwój inkubatorów przetwórstwa lokalnego</w:t>
      </w:r>
      <w:r>
        <w:rPr>
          <w:rStyle w:val="Odwoanieprzypisudolnego"/>
          <w:rStyle w:val="Zakotwiczenieprzypisudolnego"/>
          <w:rFonts w:eastAsia="TimesNewRoman" w:cs="Times New Roman" w:ascii="Times New Roman" w:hAnsi="Times New Roman"/>
          <w:sz w:val="24"/>
          <w:szCs w:val="24"/>
        </w:rPr>
        <w:footnoteReference w:id="5"/>
      </w:r>
      <w:r>
        <w:rPr>
          <w:rFonts w:eastAsia="TimesNewRoman" w:cs="Times New Roman" w:ascii="Times New Roman" w:hAnsi="Times New Roman"/>
          <w:sz w:val="24"/>
          <w:szCs w:val="24"/>
        </w:rPr>
        <w:t xml:space="preserve"> lub na poddziałanie wsparcie inwestycji w przetwarzanie produktów rolnych, obrót nimi lub ich rozwój</w:t>
      </w:r>
      <w:r>
        <w:rPr>
          <w:rStyle w:val="Odwoanieprzypisudolnego"/>
          <w:rStyle w:val="Zakotwiczenieprzypisudolnego"/>
          <w:rFonts w:eastAsia="TimesNewRoman" w:cs="Times New Roman" w:ascii="Times New Roman" w:hAnsi="Times New Roman"/>
          <w:sz w:val="24"/>
          <w:szCs w:val="24"/>
        </w:rPr>
        <w:footnoteReference w:id="6"/>
      </w:r>
      <w:r>
        <w:rPr>
          <w:rFonts w:eastAsia="TimesNewRoman" w:cs="Times New Roman" w:ascii="Times New Roman" w:hAnsi="Times New Roman"/>
          <w:sz w:val="24"/>
          <w:szCs w:val="24"/>
        </w:rPr>
        <w:t xml:space="preserve"> – w przypadku ubiegania się o przyznanie tej pomocy przez podmiot, który wykonuje działalność w ramach produkcji artykułów spożywczych lub produkcja napojów</w:t>
      </w:r>
      <w:r>
        <w:rPr>
          <w:rStyle w:val="Odwoanieprzypisudolnego"/>
          <w:rStyle w:val="Zakotwiczenieprzypisudolnego"/>
          <w:rFonts w:eastAsia="TimesNewRoman" w:cs="Times New Roman" w:ascii="Times New Roman" w:hAnsi="Times New Roman"/>
          <w:sz w:val="24"/>
          <w:szCs w:val="24"/>
        </w:rPr>
        <w:footnoteReference w:id="7"/>
      </w:r>
      <w:r>
        <w:rPr>
          <w:rFonts w:eastAsia="TimesNewRoman" w:cs="Times New Roman" w:ascii="Times New Roman" w:hAnsi="Times New Roman"/>
          <w:sz w:val="24"/>
          <w:szCs w:val="24"/>
        </w:rPr>
        <w:t>.</w:t>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r>
    </w:p>
    <w:p>
      <w:pPr>
        <w:pStyle w:val="Akapitzlist"/>
        <w:autoSpaceDE w:val="false"/>
        <w:spacing w:lineRule="auto" w:line="240" w:before="120" w:after="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Pomoc na operację w zakresie rozwijania działalności gospodarczej nie przysługuje, jeżeli działalność gospodarcza będąca przedmiotem tej operacji jest sklasyfikowana w przepisach rozporządzenia Rady Ministrów z dnia 24 grudnia 2007 r. w sprawie Polskiej Klasyfikacji Działalności (PKD) jako:</w:t>
      </w:r>
    </w:p>
    <w:p>
      <w:pPr>
        <w:pStyle w:val="Akapitzlist"/>
        <w:numPr>
          <w:ilvl w:val="0"/>
          <w:numId w:val="49"/>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rolnictwo i następująca po zbiorach;</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górnictwo i wydobywanie;</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działalność usługowa wspomagająca górnictwo i wydobywanie;</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przetwarzanie i konserwowanie ryb, skorupiaków i mięczaków;</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wytwarzanie i przetwarzanie koksu i produktów rafinacji ropy naftowej;</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chemikaliów oraz wyrobów chemicznych;</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podstawowych substancji farmaceutycznych oraz leków i pozostałych wyrobów farmaceutycznych;</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metali;</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produkcja pojazdów samochodowych, przyczep i naczep oraz motocykli;</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transport lotniczy i kolejowy;</w:t>
      </w:r>
    </w:p>
    <w:p>
      <w:pPr>
        <w:pStyle w:val="Akapitzlist"/>
        <w:numPr>
          <w:ilvl w:val="0"/>
          <w:numId w:val="35"/>
        </w:numPr>
        <w:autoSpaceDE w:val="false"/>
        <w:spacing w:lineRule="auto" w:line="240" w:before="120" w:after="0"/>
        <w:ind w:left="1134" w:hanging="36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gospodarka magazynowa.</w:t>
      </w:r>
    </w:p>
    <w:p>
      <w:pPr>
        <w:pStyle w:val="Akapitzlist"/>
        <w:autoSpaceDE w:val="false"/>
        <w:spacing w:lineRule="auto" w:line="240" w:before="120" w:after="0"/>
        <w:ind w:left="1134"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r>
    </w:p>
    <w:p>
      <w:pPr>
        <w:pStyle w:val="Nagwek4"/>
        <w:rPr>
          <w:rFonts w:ascii="Times New Roman" w:hAnsi="Times New Roman" w:cs="Times New Roman"/>
          <w:b w:val="false"/>
          <w:b w:val="false"/>
          <w:color w:val="000000"/>
          <w:sz w:val="24"/>
          <w:szCs w:val="24"/>
        </w:rPr>
      </w:pPr>
      <w:r>
        <w:rPr>
          <w:rFonts w:cs="Times New Roman" w:ascii="Times New Roman" w:hAnsi="Times New Roman"/>
          <w:color w:val="000000"/>
          <w:sz w:val="24"/>
          <w:szCs w:val="24"/>
          <w:shd w:fill="FFFFFF" w:val="clear"/>
        </w:rPr>
        <w:t>- w tym</w:t>
      </w:r>
      <w:r>
        <w:rPr>
          <w:rFonts w:cs="Times New Roman" w:ascii="Times New Roman" w:hAnsi="Times New Roman"/>
          <w:color w:val="000000"/>
          <w:sz w:val="24"/>
          <w:szCs w:val="24"/>
        </w:rPr>
        <w:t xml:space="preserve"> </w:t>
      </w:r>
      <w:r>
        <w:rPr>
          <w:rFonts w:eastAsia="TimesNewRoman" w:cs="Times New Roman" w:ascii="Times New Roman" w:hAnsi="Times New Roman"/>
          <w:color w:val="000000"/>
          <w:sz w:val="24"/>
          <w:szCs w:val="24"/>
        </w:rPr>
        <w:t>podnoszenie kompetencji osób realizujących operacje w zakresie rozwoju przedsiębiorczości.</w:t>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Pomoc w zakresie podniesienia kompetencji osób realizujących operacje w zakresie rozwoju przedsiębiorczości jest przyznawana, jeżeli podmiot ubiega się jednocześnie o przyznanie pomocy w ramach zakresu: podejmowanie działalności gospodarczej lub tworzenie i rozwój inkubatorów przetwórstwa lokalnego lub rozwijanie działalności gospodarczej oraz </w:t>
      </w:r>
      <w:r>
        <w:rPr>
          <w:rFonts w:eastAsia="TimesNewRoman" w:cs="Times New Roman" w:ascii="Times New Roman" w:hAnsi="Times New Roman"/>
          <w:sz w:val="24"/>
          <w:szCs w:val="24"/>
        </w:rPr>
        <w:t xml:space="preserve">spełnia warunki przyznania pomocy w w/w zakresach. </w:t>
      </w:r>
      <w:r>
        <w:rPr>
          <w:rFonts w:cs="Times New Roman" w:ascii="Times New Roman" w:hAnsi="Times New Roman"/>
          <w:sz w:val="24"/>
          <w:szCs w:val="24"/>
        </w:rPr>
        <w:t xml:space="preserve">  </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przedsięwzięcia. Będzie ono realizowane w formie konkursu. Intensywność pomocy ustala się na poziomie max. </w:t>
      </w:r>
      <w:r>
        <w:rPr>
          <w:rFonts w:cs="Times New Roman" w:ascii="Times New Roman" w:hAnsi="Times New Roman"/>
          <w:b/>
          <w:sz w:val="24"/>
          <w:szCs w:val="24"/>
          <w:u w:val="single"/>
        </w:rPr>
        <w:t>70%</w:t>
      </w:r>
      <w:r>
        <w:rPr>
          <w:rFonts w:cs="Times New Roman" w:ascii="Times New Roman" w:hAnsi="Times New Roman"/>
          <w:sz w:val="24"/>
          <w:szCs w:val="24"/>
        </w:rPr>
        <w:t xml:space="preserve"> poniesionych kosztów kwalifikowalnych. </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3) Działania aktywizujące i integrujące mieszkańców:</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W ramach przedsięwzięcia finansowane będą operacje, które najlepiej mobilizują lokalne zasoby i przyczyniają się do tworzenia infrastrukturalnej przestrzeni społecznej 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w:t>
        <w:br/>
        <w:t xml:space="preserve">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Centrum Inicjatyw Wiejskich  zakłada realizację przedsięwzięcia „Działania aktywizujące i integrujące mieszkańców”  w formie projektów grantowych.  Minimalna wartość jednego grantu, to 1.250 € (5000 zł), a  maksymalna to 12.500 € (50.000 zł.)  Proponowany poziom wsparcia wynosi do </w:t>
      </w:r>
      <w:r>
        <w:rPr>
          <w:rFonts w:cs="Times New Roman" w:ascii="Times New Roman" w:hAnsi="Times New Roman"/>
          <w:b/>
          <w:sz w:val="24"/>
          <w:szCs w:val="24"/>
          <w:u w:val="single"/>
        </w:rPr>
        <w:t>90%</w:t>
      </w:r>
      <w:r>
        <w:rPr>
          <w:rFonts w:cs="Times New Roman"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Pr>
          <w:rFonts w:cs="Times New Roman" w:ascii="Times New Roman" w:hAnsi="Times New Roman"/>
          <w:b/>
          <w:sz w:val="24"/>
          <w:szCs w:val="24"/>
          <w:u w:val="single"/>
        </w:rPr>
        <w:t>63,63%</w:t>
      </w:r>
      <w:r>
        <w:rPr>
          <w:rFonts w:cs="Times New Roman" w:ascii="Times New Roman" w:hAnsi="Times New Roman"/>
          <w:sz w:val="24"/>
          <w:szCs w:val="24"/>
        </w:rPr>
        <w:t xml:space="preserve"> poniesionych kosztów kwalifikowalnych. </w:t>
      </w:r>
    </w:p>
    <w:p>
      <w:pPr>
        <w:pStyle w:val="Normal"/>
        <w:tabs>
          <w:tab w:val="clear" w:pos="708"/>
          <w:tab w:val="left" w:pos="10080" w:leader="none"/>
          <w:tab w:val="left" w:pos="10260" w:leader="none"/>
        </w:tabs>
        <w:spacing w:lineRule="auto" w:line="240" w:before="60" w:after="0"/>
        <w:ind w:right="23"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4) Promocja i informacja:</w:t>
      </w:r>
    </w:p>
    <w:p>
      <w:pPr>
        <w:pStyle w:val="Standard"/>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pPr>
        <w:pStyle w:val="Standard"/>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pPr>
        <w:pStyle w:val="Normal"/>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Operacje będą realizowane w formie projektów grantowych. Minimalna wartość jednego grantu, to 1.250 € (5000 zł), a  maksymalna to 12.500 € (50.000 zł.)  Proponowany poziom wsparcia wynosi do </w:t>
      </w:r>
      <w:r>
        <w:rPr>
          <w:rFonts w:cs="Times New Roman" w:ascii="Times New Roman" w:hAnsi="Times New Roman"/>
          <w:b/>
          <w:sz w:val="24"/>
          <w:szCs w:val="24"/>
          <w:u w:val="single"/>
        </w:rPr>
        <w:t>90%</w:t>
      </w:r>
      <w:r>
        <w:rPr>
          <w:rFonts w:cs="Times New Roman"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Pr>
          <w:rFonts w:cs="Times New Roman" w:ascii="Times New Roman" w:hAnsi="Times New Roman"/>
          <w:b/>
          <w:sz w:val="24"/>
          <w:szCs w:val="24"/>
          <w:u w:val="single"/>
        </w:rPr>
        <w:t>63,63%</w:t>
      </w:r>
      <w:r>
        <w:rPr>
          <w:rFonts w:cs="Times New Roman" w:ascii="Times New Roman" w:hAnsi="Times New Roman"/>
          <w:sz w:val="24"/>
          <w:szCs w:val="24"/>
        </w:rPr>
        <w:t xml:space="preserve"> poniesionych kosztów kwalifikowalnych. </w:t>
      </w:r>
    </w:p>
    <w:p>
      <w:pPr>
        <w:pStyle w:val="Standard"/>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r>
    </w:p>
    <w:p>
      <w:pPr>
        <w:pStyle w:val="Standard"/>
        <w:spacing w:lineRule="auto" w:line="240" w:before="60" w:after="0"/>
        <w:jc w:val="both"/>
        <w:rPr/>
      </w:pPr>
      <w:r>
        <w:rPr>
          <w:rFonts w:eastAsia="Calibri" w:cs="Times New Roman" w:ascii="Times New Roman" w:hAnsi="Times New Roman"/>
          <w:b/>
          <w:color w:val="000000"/>
          <w:kern w:val="0"/>
          <w:sz w:val="24"/>
          <w:szCs w:val="24"/>
          <w:lang w:eastAsia="en-US"/>
        </w:rPr>
        <w:t xml:space="preserve">5) </w:t>
      </w:r>
      <w:r>
        <w:rPr>
          <w:rFonts w:eastAsia="Calibri" w:cs="Times New Roman" w:ascii="Times New Roman" w:hAnsi="Times New Roman"/>
          <w:b/>
          <w:color w:val="000000"/>
          <w:kern w:val="0"/>
          <w:sz w:val="24"/>
          <w:szCs w:val="24"/>
          <w:u w:val="single"/>
          <w:lang w:eastAsia="en-US"/>
        </w:rPr>
        <w:t>Infrastruktura turystyczna i rekreacyjna:</w:t>
      </w:r>
    </w:p>
    <w:p>
      <w:pPr>
        <w:pStyle w:val="Standard"/>
        <w:shd w:fill="FFFFFF" w:val="clear"/>
        <w:spacing w:lineRule="auto" w:line="240" w:before="60" w:after="0"/>
        <w:jc w:val="both"/>
        <w:rPr>
          <w:rFonts w:ascii="Times New Roman" w:hAnsi="Times New Roman" w:eastAsia="Calibri" w:cs="Times New Roman"/>
          <w:color w:val="000000"/>
          <w:kern w:val="0"/>
          <w:sz w:val="24"/>
          <w:szCs w:val="24"/>
          <w:lang w:eastAsia="en-US"/>
        </w:rPr>
      </w:pPr>
      <w:r>
        <w:rPr>
          <w:rFonts w:eastAsia="Calibri" w:cs="Times New Roman" w:ascii="Times New Roman" w:hAnsi="Times New Roman"/>
          <w:color w:val="000000"/>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pPr>
        <w:pStyle w:val="Normal"/>
        <w:shd w:fill="FFFFFF" w:val="clear"/>
        <w:tabs>
          <w:tab w:val="clear" w:pos="708"/>
          <w:tab w:val="left" w:pos="10080" w:leader="none"/>
          <w:tab w:val="left" w:pos="10260" w:leader="none"/>
        </w:tabs>
        <w:spacing w:lineRule="auto" w:line="240" w:before="60" w:after="0"/>
        <w:ind w:right="23" w:hanging="0"/>
        <w:jc w:val="both"/>
        <w:rPr/>
      </w:pPr>
      <w:r>
        <w:rPr>
          <w:rFonts w:cs="Times New Roman" w:ascii="Times New Roman" w:hAnsi="Times New Roman"/>
          <w:sz w:val="24"/>
          <w:szCs w:val="24"/>
        </w:rPr>
        <w:t xml:space="preserve">Z Diagnozy wynika, iż społeczność lokalna w dalszym stopniu nie jest zadowolona 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Głównym źródłem dochodów organizacji pozarządowych na obszarze LGD są składki, darowizny i dotacje, dlatego proponowany poziom wsparcia wynosi </w:t>
      </w:r>
      <w:r>
        <w:rPr>
          <w:rFonts w:cs="Times New Roman" w:ascii="Times New Roman" w:hAnsi="Times New Roman"/>
          <w:color w:val="000000"/>
          <w:sz w:val="24"/>
          <w:szCs w:val="24"/>
        </w:rPr>
        <w:t>do</w:t>
      </w:r>
      <w:r>
        <w:rPr>
          <w:rFonts w:cs="Times New Roman" w:ascii="Times New Roman" w:hAnsi="Times New Roman"/>
          <w:sz w:val="24"/>
          <w:szCs w:val="24"/>
        </w:rPr>
        <w:t xml:space="preserve"> </w:t>
      </w:r>
      <w:r>
        <w:rPr>
          <w:rFonts w:cs="Times New Roman" w:ascii="Times New Roman" w:hAnsi="Times New Roman"/>
          <w:b/>
          <w:sz w:val="24"/>
          <w:szCs w:val="24"/>
          <w:u w:val="single"/>
        </w:rPr>
        <w:t>90% kosztów kwalifikowanych</w:t>
      </w:r>
      <w:r>
        <w:rPr>
          <w:rFonts w:cs="Times New Roman" w:ascii="Times New Roman" w:hAnsi="Times New Roman"/>
          <w:sz w:val="24"/>
          <w:szCs w:val="24"/>
        </w:rPr>
        <w:t xml:space="preserve">, W przypadku konkursu udział własny 10% może być w całości wkładem niefinansowym tj. pracą wolontariuszy na rzecz operacji. W przypadku projektów grantowych pozostałe 10% to wkład własny finansowy, a wkład rzeczowy w postaci wolontariatu na rzecz operacji stanowi koszt niekwalifikowany. W przypadku, gdy z wnioskiem wystąpi jednostka sektora finansów publicznych poziom dofinansowania wynosi </w:t>
      </w:r>
      <w:r>
        <w:rPr>
          <w:rFonts w:cs="Times New Roman" w:ascii="Times New Roman" w:hAnsi="Times New Roman"/>
          <w:color w:val="000000"/>
          <w:sz w:val="24"/>
          <w:szCs w:val="24"/>
        </w:rPr>
        <w:t>do</w:t>
      </w:r>
      <w:r>
        <w:rPr>
          <w:rFonts w:cs="Times New Roman" w:ascii="Times New Roman" w:hAnsi="Times New Roman"/>
          <w:sz w:val="24"/>
          <w:szCs w:val="24"/>
        </w:rPr>
        <w:t xml:space="preserve">  </w:t>
      </w:r>
      <w:r>
        <w:rPr>
          <w:rFonts w:cs="Times New Roman" w:ascii="Times New Roman" w:hAnsi="Times New Roman"/>
          <w:b/>
          <w:sz w:val="24"/>
          <w:szCs w:val="24"/>
          <w:u w:val="single"/>
        </w:rPr>
        <w:t>63,63%</w:t>
      </w:r>
      <w:r>
        <w:rPr>
          <w:rFonts w:cs="Times New Roman" w:ascii="Times New Roman" w:hAnsi="Times New Roman"/>
          <w:sz w:val="24"/>
          <w:szCs w:val="24"/>
        </w:rPr>
        <w:t xml:space="preserve"> poniesionych kosztów kwalifikowalnych. </w:t>
      </w:r>
    </w:p>
    <w:p>
      <w:pPr>
        <w:pStyle w:val="Normal"/>
        <w:shd w:fill="FFFFFF" w:val="clear"/>
        <w:tabs>
          <w:tab w:val="clear" w:pos="708"/>
          <w:tab w:val="left" w:pos="10080" w:leader="none"/>
          <w:tab w:val="left" w:pos="10260" w:leader="none"/>
        </w:tabs>
        <w:spacing w:lineRule="auto" w:line="240" w:before="60" w:after="0"/>
        <w:ind w:right="23"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60" w:after="0"/>
        <w:jc w:val="both"/>
        <w:rPr>
          <w:rFonts w:ascii="Times New Roman" w:hAnsi="Times New Roman" w:cs="Times New Roman"/>
          <w:b/>
          <w:b/>
          <w:sz w:val="24"/>
          <w:szCs w:val="24"/>
        </w:rPr>
      </w:pPr>
      <w:r>
        <w:rPr>
          <w:rFonts w:cs="Times New Roman" w:ascii="Times New Roman" w:hAnsi="Times New Roman"/>
          <w:b/>
          <w:sz w:val="24"/>
          <w:szCs w:val="24"/>
        </w:rPr>
        <w:t xml:space="preserve">5) </w:t>
      </w:r>
      <w:r>
        <w:rPr>
          <w:rFonts w:cs="Times New Roman" w:ascii="Times New Roman" w:hAnsi="Times New Roman"/>
          <w:b/>
          <w:sz w:val="24"/>
          <w:szCs w:val="24"/>
          <w:u w:val="single"/>
        </w:rPr>
        <w:t>Oddolne koncepcje rozwoju w skali mikro (Smart Village)</w:t>
      </w:r>
      <w:r>
        <w:rPr>
          <w:rFonts w:cs="Times New Roman" w:ascii="Times New Roman" w:hAnsi="Times New Roman"/>
          <w:b/>
          <w:sz w:val="24"/>
          <w:szCs w:val="24"/>
        </w:rPr>
        <w:t xml:space="preserve">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 diagnozy wynika, iż do najważniejszych obszarów, w których LGD powinna podejmować działania i wywoływać zmianę jest rynek pracy, turystyka, infrastruktura, aktywność społeczna, a także wykluczenie społeczne.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 silnych stronach: liczne organizacje pozarządowe.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Pomoc będzie miała formę płatności zryczałtowanej w wysokości 1.000 € tj. 4.000 zł. </w:t>
      </w:r>
    </w:p>
    <w:p>
      <w:pPr>
        <w:pStyle w:val="Normal"/>
        <w:spacing w:lineRule="auto" w:line="240" w:before="6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Akapitzlist"/>
        <w:numPr>
          <w:ilvl w:val="1"/>
          <w:numId w:val="14"/>
        </w:numPr>
        <w:shd w:fill="FFFFFF" w:val="clear"/>
        <w:tabs>
          <w:tab w:val="clear" w:pos="708"/>
          <w:tab w:val="left" w:pos="426" w:leader="none"/>
          <w:tab w:val="left" w:pos="10260" w:leader="none"/>
        </w:tabs>
        <w:spacing w:lineRule="auto" w:line="240" w:before="60" w:after="0"/>
        <w:ind w:left="709" w:right="22" w:hanging="709"/>
        <w:contextualSpacing/>
        <w:rPr>
          <w:rFonts w:ascii="Times New Roman" w:hAnsi="Times New Roman" w:cs="Times New Roman"/>
          <w:b/>
          <w:b/>
          <w:color w:val="000000"/>
          <w:sz w:val="24"/>
          <w:szCs w:val="24"/>
        </w:rPr>
      </w:pPr>
      <w:r>
        <w:rPr>
          <w:rFonts w:cs="Times New Roman" w:ascii="Times New Roman" w:hAnsi="Times New Roman"/>
          <w:b/>
          <w:color w:val="000000"/>
          <w:sz w:val="24"/>
          <w:szCs w:val="24"/>
        </w:rPr>
        <w:t>Określenie innowacyjności w sposobie oceny operacji:</w:t>
      </w:r>
    </w:p>
    <w:p>
      <w:pPr>
        <w:pStyle w:val="Normal"/>
        <w:shd w:fill="FFFFFF" w:val="clear"/>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pPr>
        <w:pStyle w:val="Normal"/>
        <w:spacing w:lineRule="auto" w:line="240" w:before="60" w:after="0"/>
        <w:jc w:val="both"/>
        <w:rPr/>
      </w:pPr>
      <w:r>
        <w:rPr>
          <w:rFonts w:cs="Times New Roman" w:ascii="Times New Roman" w:hAnsi="Times New Roman"/>
          <w:sz w:val="24"/>
          <w:szCs w:val="24"/>
        </w:rPr>
        <w:t>Ogólnie dostępna definicja jak określa wiele opracowań (</w:t>
      </w:r>
      <w:r>
        <w:rPr>
          <w:rFonts w:cs="Times New Roman" w:ascii="Times New Roman" w:hAnsi="Times New Roman"/>
          <w:i/>
          <w:iCs/>
          <w:sz w:val="24"/>
          <w:szCs w:val="24"/>
        </w:rPr>
        <w:t>Poradnik dla oceniających projekty innowacyjne i projekty współpracy ponadnarodowej</w:t>
      </w:r>
      <w:r>
        <w:rPr>
          <w:rFonts w:cs="Times New Roman" w:ascii="Times New Roman" w:hAnsi="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pPr>
        <w:pStyle w:val="Normal"/>
        <w:spacing w:lineRule="auto" w:line="240" w:before="60" w:after="0"/>
        <w:jc w:val="both"/>
        <w:rPr/>
      </w:pPr>
      <w:r>
        <w:rPr>
          <w:rFonts w:cs="Times New Roman" w:ascii="Times New Roman" w:hAnsi="Times New Roman"/>
          <w:b/>
          <w:sz w:val="24"/>
          <w:szCs w:val="24"/>
          <w:u w:val="single"/>
        </w:rPr>
        <w:t>Innowacja procesowa</w:t>
      </w:r>
      <w:r>
        <w:rPr>
          <w:rFonts w:cs="Times New Roman" w:ascii="Times New Roman" w:hAnsi="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Pr>
          <w:rFonts w:cs="Times New Roman" w:ascii="Times New Roman" w:hAnsi="Times New Roman"/>
          <w:b/>
          <w:sz w:val="24"/>
          <w:szCs w:val="24"/>
          <w:u w:val="single"/>
        </w:rPr>
        <w:t>Innowacja produktowa</w:t>
      </w:r>
      <w:r>
        <w:rPr>
          <w:rFonts w:cs="Times New Roman" w:ascii="Times New Roman" w:hAnsi="Times New Roman"/>
          <w:sz w:val="24"/>
          <w:szCs w:val="24"/>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pPr>
        <w:pStyle w:val="Normal"/>
        <w:spacing w:lineRule="auto" w:line="240" w:before="60" w:after="0"/>
        <w:jc w:val="both"/>
        <w:rPr/>
      </w:pPr>
      <w:r>
        <w:rPr>
          <w:rFonts w:cs="Times New Roman" w:ascii="Times New Roman" w:hAnsi="Times New Roman"/>
          <w:b/>
          <w:sz w:val="24"/>
          <w:szCs w:val="24"/>
          <w:u w:val="single"/>
        </w:rPr>
        <w:t>Innowacja organizacyjna</w:t>
      </w:r>
      <w:r>
        <w:rPr>
          <w:rFonts w:cs="Times New Roman" w:ascii="Times New Roman" w:hAnsi="Times New Roman"/>
          <w:sz w:val="24"/>
          <w:szCs w:val="24"/>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pPr>
        <w:pStyle w:val="Normal"/>
        <w:spacing w:lineRule="auto" w:line="240" w:before="60" w:after="0"/>
        <w:jc w:val="both"/>
        <w:rPr>
          <w:rFonts w:ascii="Times New Roman" w:hAnsi="Times New Roman" w:cs="Times New Roman"/>
          <w:sz w:val="24"/>
          <w:szCs w:val="24"/>
        </w:rPr>
      </w:pPr>
      <w:r>
        <w:rPr>
          <w:rFonts w:eastAsia="Times New Roman" w:cs="Times New Roman" w:ascii="Times New Roman" w:hAnsi="Times New Roman"/>
          <w:b/>
          <w:sz w:val="24"/>
          <w:szCs w:val="24"/>
          <w:u w:val="single"/>
        </w:rPr>
        <w:t xml:space="preserve"> </w:t>
      </w:r>
      <w:r>
        <w:rPr>
          <w:rFonts w:cs="Times New Roman" w:ascii="Times New Roman" w:hAnsi="Times New Roman"/>
          <w:b/>
          <w:sz w:val="24"/>
          <w:szCs w:val="24"/>
          <w:u w:val="single"/>
        </w:rPr>
        <w:t>Innowacja marketingowa</w:t>
      </w:r>
      <w:r>
        <w:rPr>
          <w:rFonts w:cs="Times New Roman" w:ascii="Times New Roman" w:hAnsi="Times New Roman"/>
          <w:sz w:val="24"/>
          <w:szCs w:val="24"/>
        </w:rPr>
        <w:t>, czyli zastosowanie nowych technik marketingowych, nowej metody marketingowej obejmującej znaczące zmiany w wyglądzie produktu, opakowaniu, pozycjonowaniu, promocji, polityce cenowej, modelu biznesowym.</w:t>
      </w:r>
    </w:p>
    <w:p>
      <w:pPr>
        <w:pStyle w:val="Normal"/>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W kryterium innowacyjności, ocenia się innowacyjność operacji w skali lokalnej. </w:t>
      </w:r>
    </w:p>
    <w:p>
      <w:pPr>
        <w:pStyle w:val="Normal"/>
        <w:spacing w:lineRule="auto" w:line="240" w:before="0" w:after="0"/>
        <w:jc w:val="both"/>
        <w:rPr/>
      </w:pPr>
      <w:r>
        <w:rPr>
          <w:rFonts w:cs="Times New Roman" w:ascii="Times New Roman" w:hAnsi="Times New Roman"/>
        </w:rPr>
        <w:t>Za operacje innowacyjne uznaje się operacje nowatorskie 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pPr>
        <w:pStyle w:val="Normal"/>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Akapitzlist"/>
        <w:numPr>
          <w:ilvl w:val="1"/>
          <w:numId w:val="14"/>
        </w:numPr>
        <w:shd w:fill="FFFFFF" w:val="clear"/>
        <w:spacing w:lineRule="auto" w:line="240" w:before="60" w:after="0"/>
        <w:ind w:left="426" w:hanging="426"/>
        <w:contextualSpacing/>
        <w:jc w:val="both"/>
        <w:rPr>
          <w:rFonts w:ascii="Times New Roman" w:hAnsi="Times New Roman" w:cs="Times New Roman"/>
          <w:b/>
          <w:b/>
          <w:bCs/>
          <w:sz w:val="24"/>
          <w:szCs w:val="24"/>
        </w:rPr>
      </w:pPr>
      <w:r>
        <w:rPr>
          <w:rFonts w:cs="Times New Roman" w:ascii="Times New Roman" w:hAnsi="Times New Roman"/>
          <w:b/>
          <w:bCs/>
          <w:sz w:val="24"/>
          <w:szCs w:val="24"/>
        </w:rPr>
        <w:t>Podział zadań i zakres odpowiedzialności poszczególnych organów w zakresie oceny operacji:</w:t>
      </w:r>
    </w:p>
    <w:p>
      <w:pPr>
        <w:pStyle w:val="Akapitzlist"/>
        <w:shd w:fill="FFFFFF" w:val="clear"/>
        <w:spacing w:lineRule="auto" w:line="240" w:before="60" w:after="0"/>
        <w:ind w:left="426" w:hanging="0"/>
        <w:contextualSpacing/>
        <w:jc w:val="both"/>
        <w:rPr>
          <w:rFonts w:ascii="Times New Roman" w:hAnsi="Times New Roman" w:cs="Times New Roman"/>
          <w:b/>
          <w:b/>
          <w:bCs/>
          <w:sz w:val="24"/>
          <w:szCs w:val="24"/>
        </w:rPr>
      </w:pPr>
      <w:r>
        <w:rPr>
          <w:rFonts w:cs="Times New Roman" w:ascii="Times New Roman" w:hAnsi="Times New Roman"/>
          <w:b/>
          <w:bCs/>
          <w:sz w:val="24"/>
          <w:szCs w:val="24"/>
        </w:rPr>
      </w:r>
    </w:p>
    <w:tbl>
      <w:tblPr>
        <w:tblW w:w="10705" w:type="dxa"/>
        <w:jc w:val="left"/>
        <w:tblInd w:w="-113" w:type="dxa"/>
        <w:tblLayout w:type="fixed"/>
        <w:tblCellMar>
          <w:top w:w="0" w:type="dxa"/>
          <w:left w:w="108" w:type="dxa"/>
          <w:bottom w:w="0" w:type="dxa"/>
          <w:right w:w="108" w:type="dxa"/>
        </w:tblCellMar>
      </w:tblPr>
      <w:tblGrid>
        <w:gridCol w:w="5211"/>
        <w:gridCol w:w="5494"/>
      </w:tblGrid>
      <w:tr>
        <w:trPr/>
        <w:tc>
          <w:tcPr>
            <w:tcW w:w="52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rFonts w:ascii="Times New Roman" w:hAnsi="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Zarząd</w:t>
            </w:r>
          </w:p>
        </w:tc>
        <w:tc>
          <w:tcPr>
            <w:tcW w:w="54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t>Rada</w:t>
            </w:r>
          </w:p>
        </w:tc>
      </w:tr>
      <w:tr>
        <w:trPr/>
        <w:tc>
          <w:tcPr>
            <w:tcW w:w="5211" w:type="dxa"/>
            <w:tcBorders>
              <w:top w:val="single" w:sz="4" w:space="0" w:color="000000"/>
              <w:left w:val="single" w:sz="4" w:space="0" w:color="000000"/>
              <w:bottom w:val="single" w:sz="4" w:space="0" w:color="000000"/>
              <w:right w:val="single" w:sz="4" w:space="0" w:color="000000"/>
            </w:tcBorders>
          </w:tcPr>
          <w:p>
            <w:pPr>
              <w:pStyle w:val="Standard"/>
              <w:numPr>
                <w:ilvl w:val="0"/>
                <w:numId w:val="21"/>
              </w:numPr>
              <w:spacing w:lineRule="auto" w:line="240" w:before="60" w:after="0"/>
              <w:ind w:left="720" w:hanging="72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Wystąpienie do Zarządu województwa z zapytaniem o wysokość dostępnych środków na nabór wniosków,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Wystąpienie do Zarządu Województwa o ustalenie terminu naboru wniosków,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Ogłaszanie konkursów,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Sporządzenie protokołu z otwarcia konkursu i publikacja na stronie www,</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Uzgadnianie terminu, miejsca i porządku posiedzenia Rady z Przewodniczącym Rady,</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Przedstawienie protokołu z otwarcia konkursu podczas posiedzenia Rady,</w:t>
            </w:r>
          </w:p>
          <w:p>
            <w:pPr>
              <w:pStyle w:val="Standard"/>
              <w:numPr>
                <w:ilvl w:val="0"/>
                <w:numId w:val="21"/>
              </w:numPr>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W terminie 60 dni od dnia następującego po dniu  zakończenia naboru wniosków – pisemne powiadomienie wnioskodawców o wynikach zgodności z LSR, Programem i wynikach wyboru, w tym oceny w zakresie spełnienia przez wnioskodawcę kryteriów wraz z uzasadnieniem oceny, liczby punktów a w przypadku pozytywnego wyniku wyboru czy operacja mieści się w limicie środków, lub o możliwości złożenia protestu/odwołania.</w:t>
            </w:r>
          </w:p>
          <w:p>
            <w:pPr>
              <w:pStyle w:val="Standard"/>
              <w:spacing w:lineRule="auto" w:line="240" w:before="60" w:after="0"/>
              <w:jc w:val="both"/>
              <w:rPr>
                <w:rFonts w:ascii="Times New Roman" w:hAnsi="Times New Roman" w:eastAsia="Calibri" w:cs="Times New Roman"/>
                <w:b/>
                <w:b/>
                <w:kern w:val="0"/>
                <w:lang w:eastAsia="en-US"/>
              </w:rPr>
            </w:pPr>
            <w:r>
              <w:rPr>
                <w:rFonts w:eastAsia="Calibri" w:cs="Times New Roman" w:ascii="Times New Roman" w:hAnsi="Times New Roman"/>
                <w:b/>
                <w:kern w:val="0"/>
                <w:lang w:eastAsia="en-US"/>
              </w:rPr>
              <w:t>Dodatkowo:</w:t>
            </w:r>
          </w:p>
          <w:p>
            <w:pPr>
              <w:pStyle w:val="Standard"/>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8.Określa harmonogram szkoleń dla Członków Rady,</w:t>
            </w:r>
          </w:p>
          <w:p>
            <w:pPr>
              <w:pStyle w:val="Standard"/>
              <w:spacing w:lineRule="auto" w:line="240" w:before="60" w:after="0"/>
              <w:jc w:val="both"/>
              <w:rPr>
                <w:rFonts w:ascii="Times New Roman" w:hAnsi="Times New Roman" w:eastAsia="Calibri" w:cs="Times New Roman"/>
                <w:kern w:val="0"/>
                <w:lang w:eastAsia="en-US"/>
              </w:rPr>
            </w:pPr>
            <w:r>
              <w:rPr>
                <w:rFonts w:eastAsia="Calibri" w:cs="Times New Roman" w:ascii="Times New Roman" w:hAnsi="Times New Roman"/>
                <w:kern w:val="0"/>
                <w:lang w:eastAsia="en-US"/>
              </w:rPr>
              <w:t>9.Uczestniczy w komisji sprawdzającej wiedzę członków Rady</w:t>
            </w:r>
          </w:p>
          <w:p>
            <w:pPr>
              <w:pStyle w:val="Normal"/>
              <w:spacing w:lineRule="auto" w:line="240" w:before="60" w:after="0"/>
              <w:rPr>
                <w:rFonts w:ascii="Times New Roman" w:hAnsi="Times New Roman" w:eastAsia="Calibri" w:cs="Times New Roman"/>
                <w:color w:val="000000"/>
                <w:kern w:val="0"/>
                <w:lang w:eastAsia="en-US"/>
              </w:rPr>
            </w:pPr>
            <w:r>
              <w:rPr>
                <w:rFonts w:eastAsia="Calibri" w:cs="Times New Roman" w:ascii="Times New Roman" w:hAnsi="Times New Roman"/>
                <w:color w:val="000000"/>
                <w:kern w:val="0"/>
                <w:lang w:eastAsia="en-US"/>
              </w:rPr>
            </w:r>
          </w:p>
        </w:tc>
        <w:tc>
          <w:tcPr>
            <w:tcW w:w="5494" w:type="dxa"/>
            <w:tcBorders>
              <w:top w:val="single" w:sz="4" w:space="0" w:color="000000"/>
              <w:left w:val="single" w:sz="4" w:space="0" w:color="000000"/>
              <w:bottom w:val="single" w:sz="4" w:space="0" w:color="000000"/>
              <w:right w:val="single" w:sz="4" w:space="0" w:color="000000"/>
            </w:tcBorders>
            <w:shd w:fill="FDE9D9" w:val="clear"/>
          </w:tcPr>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ZZwoływanie posiedzenia Rady przez Przewodniczącego po wcześniejszym uzgodnieniu terminu, miejsca i porządku z Zarządem i Biurem,</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rFonts w:ascii="Times New Roman" w:hAnsi="Times New Roman" w:cs="Times New Roman"/>
                <w:color w:val="000000"/>
              </w:rPr>
            </w:pPr>
            <w:r>
              <w:rPr>
                <w:rFonts w:cs="Times New Roman" w:ascii="Times New Roman" w:hAnsi="Times New Roman"/>
                <w:color w:val="000000"/>
              </w:rPr>
              <w:t>OOtwarcie Posiedzenia Rady i stwierdzenie quorum,</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PPrzed przystąpieniem do dokonania oceny złożenie na ręce Przewodniczącego przez członków Rady pisemnych deklaracji poufności i bezstronności,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PPrzed przystąpieniem do dokonania oceny analiza złożonych deklaracji oraz stosownych wyłączeń z oceny operacji na podstawie „Rejestru interesów członków Rady/pracowników Biura LGD”,</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WWybór protokolanta, komisji skrutacyjnej i przyjęcie porządku obrad,</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AAnaliza złożonych operacji,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GGłosowanie przez podniesienie ręki w sprawie spełnienia kryteriów formalnych i zgodności z Programem,</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RRozdanie członkom Rady Kart oceny zgodności operacji z LSR oraz kart oceny zgodności operacji z Lokalnymi Kryteriami Wyboru – komisja skrutacyjna,</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OOcena Rady nad zgodnością z LSR,</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ZZebranie kart oceny zgodności operacji z LSR, sprawdzenie czy zostały prawidłowo wypełnione, ustalenie wyniku głosowania i przekazanie go Przewodniczącemu – Komisja skrutacyjna,</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OOgłoszenie wyniku głosowania w sprawie zgodności konkretnej operacji z LSR,</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OOcena Rady według Lokalnych Kryteriów wyboru,</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ZZebranie kart oceny zgodności z Lokalnymi Kryteriami Wyboru, sprawdzenie czy zostały prawidłowo wypełnione, ustalenie wyniku głosowania i przekazanie go Przewodniczącemu – Komisja skrutacyjna,</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rFonts w:ascii="Times New Roman" w:hAnsi="Times New Roman" w:cs="Times New Roman"/>
                <w:color w:val="000000"/>
              </w:rPr>
            </w:pPr>
            <w:r>
              <w:rPr>
                <w:rFonts w:cs="Times New Roman" w:ascii="Times New Roman" w:hAnsi="Times New Roman"/>
                <w:color w:val="000000"/>
              </w:rPr>
              <w:t>OOgłoszenie wyniku głosowania w sprawie zgodności konkretnej operacji z lokalnymi kryteriami wyboru,</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WW przypadku wystąpienia rozbieżności pomiędzy ocenami poszczególnych członków Rady, uzasadnienie oceny przez członków Rady, których oceny są skrajne, ewentualna zmiana oceny,</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PPojęcie uchwał w sprawie wyboru operacji,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SSporządzenie listy ocenionych operacji zgodnych z LSR i Programem oraz listy operacji wybranych ze wskazaniem tych, które mieszczą się w limicie środków wskazanym w ogłoszeniu i przekazanie do Biura LGD,</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rFonts w:ascii="Times New Roman" w:hAnsi="Times New Roman" w:cs="Times New Roman"/>
                <w:color w:val="000000"/>
              </w:rPr>
            </w:pPr>
            <w:r>
              <w:rPr>
                <w:rFonts w:cs="Times New Roman" w:ascii="Times New Roman" w:hAnsi="Times New Roman"/>
                <w:color w:val="000000"/>
              </w:rPr>
              <w:t>SSporządzenie protokołu z posiedzenia Rady w terminie 7 dni od dani zakończenia wyboru operacji,</w:t>
            </w:r>
          </w:p>
          <w:p>
            <w:pPr>
              <w:pStyle w:val="Akapitzlist"/>
              <w:numPr>
                <w:ilvl w:val="0"/>
                <w:numId w:val="31"/>
              </w:numPr>
              <w:tabs>
                <w:tab w:val="clear" w:pos="708"/>
                <w:tab w:val="left" w:pos="10080" w:leader="none"/>
                <w:tab w:val="left" w:pos="10260" w:leader="none"/>
              </w:tabs>
              <w:spacing w:lineRule="auto" w:line="240" w:before="60" w:after="0"/>
              <w:ind w:left="720" w:right="22" w:hanging="360"/>
              <w:contextualSpacing/>
              <w:jc w:val="both"/>
              <w:rPr/>
            </w:pPr>
            <w:r>
              <w:rPr>
                <w:rFonts w:cs="Times New Roman" w:ascii="Times New Roman" w:hAnsi="Times New Roman"/>
                <w:color w:val="000000"/>
              </w:rPr>
              <w:t>tW terminie 14 dni od dnia wniesienia protestu weryfikacja wyników dokonanej oceny operacji i:</w:t>
            </w:r>
          </w:p>
          <w:p>
            <w:pPr>
              <w:pStyle w:val="Akapitzlist"/>
              <w:numPr>
                <w:ilvl w:val="0"/>
                <w:numId w:val="26"/>
              </w:numPr>
              <w:tabs>
                <w:tab w:val="clear" w:pos="708"/>
                <w:tab w:val="left" w:pos="10080" w:leader="none"/>
                <w:tab w:val="left" w:pos="10260" w:leader="none"/>
              </w:tabs>
              <w:spacing w:lineRule="auto" w:line="240" w:before="60" w:after="0"/>
              <w:ind w:left="1440" w:right="22" w:hanging="360"/>
              <w:contextualSpacing/>
              <w:jc w:val="both"/>
              <w:rPr>
                <w:rFonts w:ascii="Times New Roman" w:hAnsi="Times New Roman" w:cs="Times New Roman"/>
                <w:color w:val="000000"/>
              </w:rPr>
            </w:pPr>
            <w:r>
              <w:rPr>
                <w:rFonts w:cs="Times New Roman" w:ascii="Times New Roman" w:hAnsi="Times New Roman"/>
                <w:color w:val="000000"/>
              </w:rPr>
              <w:t>dokonanie zmiany podjętego rozstrzygnięcia,</w:t>
            </w:r>
          </w:p>
          <w:p>
            <w:pPr>
              <w:pStyle w:val="Akapitzlist"/>
              <w:numPr>
                <w:ilvl w:val="0"/>
                <w:numId w:val="26"/>
              </w:numPr>
              <w:tabs>
                <w:tab w:val="clear" w:pos="708"/>
                <w:tab w:val="left" w:pos="10080" w:leader="none"/>
                <w:tab w:val="left" w:pos="10260" w:leader="none"/>
              </w:tabs>
              <w:spacing w:lineRule="auto" w:line="240" w:before="60" w:after="0"/>
              <w:ind w:left="1440" w:right="22" w:hanging="360"/>
              <w:contextualSpacing/>
              <w:jc w:val="both"/>
              <w:rPr>
                <w:rFonts w:ascii="Times New Roman" w:hAnsi="Times New Roman" w:cs="Times New Roman"/>
                <w:color w:val="000000"/>
              </w:rPr>
            </w:pPr>
            <w:r>
              <w:rPr>
                <w:rFonts w:cs="Times New Roman" w:ascii="Times New Roman" w:hAnsi="Times New Roman"/>
                <w:color w:val="000000"/>
              </w:rPr>
              <w:t>skierowanie protestu wraz z otrzymaną dokumentacją do Zarządu Województwa, wraz ze stanowiskiem dotyczącym braku podstaw do zmiany podjętego rozstrzygnięcia.</w:t>
            </w:r>
          </w:p>
          <w:p>
            <w:pPr>
              <w:pStyle w:val="Normal"/>
              <w:tabs>
                <w:tab w:val="clear" w:pos="708"/>
                <w:tab w:val="left" w:pos="10080" w:leader="none"/>
                <w:tab w:val="left" w:pos="10260" w:leader="none"/>
              </w:tabs>
              <w:spacing w:lineRule="auto" w:line="240" w:before="60" w:after="0"/>
              <w:ind w:right="22" w:hanging="0"/>
              <w:jc w:val="both"/>
              <w:rPr>
                <w:rFonts w:ascii="Times New Roman" w:hAnsi="Times New Roman" w:cs="Times New Roman"/>
                <w:color w:val="000000"/>
              </w:rPr>
            </w:pPr>
            <w:r>
              <w:rPr>
                <w:rFonts w:cs="Times New Roman" w:ascii="Times New Roman" w:hAnsi="Times New Roman"/>
                <w:b/>
                <w:color w:val="000000"/>
              </w:rPr>
              <w:t>Dodatkowo</w:t>
            </w:r>
          </w:p>
          <w:p>
            <w:pPr>
              <w:pStyle w:val="Normal"/>
              <w:tabs>
                <w:tab w:val="clear" w:pos="708"/>
                <w:tab w:val="left" w:pos="10080" w:leader="none"/>
                <w:tab w:val="left" w:pos="10260" w:leader="none"/>
              </w:tabs>
              <w:spacing w:lineRule="auto" w:line="240" w:before="60" w:after="0"/>
              <w:ind w:right="22" w:hanging="0"/>
              <w:jc w:val="both"/>
              <w:rPr>
                <w:rFonts w:ascii="Times New Roman" w:hAnsi="Times New Roman" w:cs="Times New Roman"/>
                <w:b/>
                <w:b/>
                <w:color w:val="000000"/>
              </w:rPr>
            </w:pPr>
            <w:r>
              <w:rPr>
                <w:rFonts w:cs="Times New Roman" w:ascii="Times New Roman" w:hAnsi="Times New Roman"/>
                <w:color w:val="000000"/>
              </w:rPr>
              <w:t>Corocznie składa sprawozdanie  ze swojej działalności  Walnemu Zebraniu Członków</w:t>
            </w:r>
          </w:p>
          <w:p>
            <w:pPr>
              <w:pStyle w:val="Normal"/>
              <w:spacing w:lineRule="auto" w:line="240" w:before="60" w:after="0"/>
              <w:rPr>
                <w:rFonts w:ascii="Times New Roman" w:hAnsi="Times New Roman" w:cs="Times New Roman"/>
                <w:b/>
                <w:b/>
                <w:color w:val="000000"/>
              </w:rPr>
            </w:pPr>
            <w:r>
              <w:rPr>
                <w:rFonts w:cs="Times New Roman" w:ascii="Times New Roman" w:hAnsi="Times New Roman"/>
                <w:b/>
                <w:color w:val="000000"/>
              </w:rPr>
            </w:r>
          </w:p>
        </w:tc>
      </w:tr>
    </w:tbl>
    <w:p>
      <w:pPr>
        <w:pStyle w:val="Normal"/>
        <w:spacing w:lineRule="auto" w:line="240" w:before="60" w:after="0"/>
        <w:rPr>
          <w:rFonts w:ascii="Times New Roman" w:hAnsi="Times New Roman" w:cs="Times New Roman"/>
          <w:b/>
          <w:b/>
          <w:sz w:val="24"/>
          <w:szCs w:val="24"/>
        </w:rPr>
      </w:pPr>
      <w:r>
        <w:rPr>
          <w:rFonts w:eastAsia="Times New Roman" w:cs="Times New Roman" w:ascii="Times New Roman" w:hAnsi="Times New Roman"/>
          <w:b/>
          <w:sz w:val="24"/>
          <w:szCs w:val="24"/>
        </w:rPr>
        <w:t xml:space="preserve">                                                          </w:t>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VII. PLAN DZIAŁANIA</w:t>
      </w:r>
    </w:p>
    <w:p>
      <w:pPr>
        <w:pStyle w:val="Normal"/>
        <w:spacing w:lineRule="auto" w:line="240" w:before="60" w:after="0"/>
        <w:jc w:val="both"/>
        <w:rPr/>
      </w:pPr>
      <w:r>
        <w:rPr>
          <w:rFonts w:cs="Times New Roman" w:ascii="Times New Roman" w:hAnsi="Times New Roman"/>
          <w:sz w:val="24"/>
          <w:szCs w:val="24"/>
        </w:rPr>
        <w:t xml:space="preserve">Cele i wskaźniki podane w rozdziale V osiągane będą przez LGD do czasu zakończenia wdrażania LSR (2023 r.). LGD planuje, że większość efektów poszczególnych operacji będzie możliwa do zmierzenia po 2018 r. (ze względu na opóźnienia w uruchamianiu LSR – długotrwały proces oceny i wyboru LSR, czas niezbędny na przygotowanie wnioskodawców do prawidłowego opracowania wniosków, ogłoszenie i przeprowadzenie naborów wniosków, </w:t>
      </w:r>
      <w:r>
        <w:rPr>
          <w:rFonts w:cs="Times New Roman" w:ascii="Times New Roman" w:hAnsi="Times New Roman"/>
          <w:color w:val="000000"/>
          <w:sz w:val="24"/>
          <w:szCs w:val="24"/>
        </w:rPr>
        <w:t>złożenie do UM wniosku o przyznanie pomocy, konieczność oczekiwania z rozpoczęciem projektów do momentu podpisania umowy z LGD/UM oraz</w:t>
      </w:r>
      <w:r>
        <w:rPr>
          <w:rFonts w:cs="Times New Roman" w:ascii="Times New Roman" w:hAnsi="Times New Roman"/>
          <w:sz w:val="24"/>
          <w:szCs w:val="24"/>
        </w:rPr>
        <w:t xml:space="preserve"> długi czas niezbędny na rozliczenie projektu i otrzymanie ostatecznej refundacji). Wskazują na to przeprowadzone badania ewaluacyjne w okresie programowania 2007-2013. Ponieważ wskaźnik zostaje osiągnięty dopiero po wypłaceniu ostatecznej refundacji LGD oszacowała czas niezbędny do realizacji poszczególnych operacji (od momentu złożenia wniosku w LGD do momentu wypłacenia środków) na 6 do 32 miesięcy (w zależności od zakresu wsparcia). Założenia te są racjonalne w kontekście doświadczeń we wdrażaniu LSR na lata 2007-2013.</w:t>
      </w:r>
    </w:p>
    <w:p>
      <w:pPr>
        <w:pStyle w:val="Normal"/>
        <w:jc w:val="both"/>
        <w:rPr>
          <w:rFonts w:ascii="Times New Roman" w:hAnsi="Times New Roman" w:cs="Times New Roman"/>
          <w:sz w:val="24"/>
          <w:szCs w:val="24"/>
        </w:rPr>
      </w:pPr>
      <w:r>
        <w:rPr>
          <w:rFonts w:cs="Times New Roman" w:ascii="Times New Roman" w:hAnsi="Times New Roman"/>
          <w:b/>
          <w:sz w:val="24"/>
          <w:szCs w:val="24"/>
        </w:rPr>
        <w:t xml:space="preserve">Uwagi zgłoszone w procesie konsultacji społecznych: </w:t>
      </w:r>
      <w:r>
        <w:rPr>
          <w:rFonts w:cs="Times New Roman" w:ascii="Times New Roman" w:hAnsi="Times New Roman"/>
          <w:sz w:val="24"/>
          <w:szCs w:val="24"/>
        </w:rPr>
        <w:t>Z uwagi na</w:t>
      </w:r>
      <w:r>
        <w:rPr>
          <w:rFonts w:cs="Times New Roman" w:ascii="Times New Roman" w:hAnsi="Times New Roman"/>
          <w:b/>
          <w:sz w:val="24"/>
          <w:szCs w:val="24"/>
        </w:rPr>
        <w:t xml:space="preserve"> </w:t>
      </w:r>
      <w:r>
        <w:rPr>
          <w:rFonts w:cs="Times New Roman" w:ascii="Times New Roman" w:hAnsi="Times New Roman"/>
          <w:sz w:val="24"/>
          <w:szCs w:val="24"/>
        </w:rPr>
        <w:t>długotrwałe procedury związane z oceną wniosków w poprzednim okresie programowania koniczna będzie akcja szkoleniowo – informacyjna, co ułatwi proces składania wniosków przez beneficjentów, podniesie jakość dokumentacji. Wnioskuje się, by do kryteriów wyboru operacji włączyć: „ udział beneficjenta w szkoleniach i doradztwie w lgd” i nadać mu wysoką punktację, co powinno wpłynąć na powszechny udział w tym rodzaju wsparcia oferowanego przez LGD CIW i zapewni wysoką jakość procedowania oraz rozpatrywania wniosków, składanych do LGD CIW.</w:t>
      </w:r>
    </w:p>
    <w:p>
      <w:pPr>
        <w:pStyle w:val="Normal"/>
        <w:jc w:val="both"/>
        <w:rPr>
          <w:rFonts w:ascii="Times New Roman" w:hAnsi="Times New Roman" w:cs="Times New Roman"/>
          <w:sz w:val="24"/>
          <w:szCs w:val="24"/>
        </w:rPr>
      </w:pPr>
      <w:r>
        <w:rPr>
          <w:rFonts w:cs="Times New Roman" w:ascii="Times New Roman" w:hAnsi="Times New Roman"/>
          <w:sz w:val="24"/>
          <w:szCs w:val="24"/>
        </w:rPr>
        <w:t>Szczegółowy Plan działania znajduje się w załączniku nr 3 do niniejszego dokumentu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sz w:val="24"/>
          <w:szCs w:val="24"/>
        </w:rPr>
        <w:t>VIII. BUDŻET LSR</w:t>
      </w:r>
    </w:p>
    <w:p>
      <w:pPr>
        <w:pStyle w:val="Normal"/>
        <w:jc w:val="both"/>
        <w:rPr>
          <w:rFonts w:ascii="Times New Roman" w:hAnsi="Times New Roman" w:cs="Times New Roman"/>
          <w:sz w:val="24"/>
          <w:szCs w:val="24"/>
        </w:rPr>
      </w:pPr>
      <w:r>
        <w:rPr>
          <w:rFonts w:cs="Times New Roman" w:ascii="Times New Roman" w:hAnsi="Times New Roman"/>
          <w:sz w:val="24"/>
          <w:szCs w:val="24"/>
        </w:rPr>
        <w:t>LSR na lata 2014-2020 jest finansowana wyłącznie ze środków Europejskiego Funduszu Rolnego na rzecz Rozwoju Obszarów Wiejskich (w ramach PROW 2014-2020).</w:t>
      </w:r>
    </w:p>
    <w:p>
      <w:pPr>
        <w:pStyle w:val="Normal"/>
        <w:jc w:val="both"/>
        <w:rPr/>
      </w:pPr>
      <w:r>
        <w:rPr/>
        <w:t>Poniżej przedstawiono tabelaryczny opis powiązania budżetu LSR z poszczególnymi celami:</w:t>
      </w:r>
    </w:p>
    <w:tbl>
      <w:tblPr>
        <w:tblW w:w="10488" w:type="dxa"/>
        <w:jc w:val="center"/>
        <w:tblInd w:w="0" w:type="dxa"/>
        <w:tblLayout w:type="fixed"/>
        <w:tblCellMar>
          <w:top w:w="0" w:type="dxa"/>
          <w:left w:w="0" w:type="dxa"/>
          <w:bottom w:w="0" w:type="dxa"/>
          <w:right w:w="0" w:type="dxa"/>
        </w:tblCellMar>
      </w:tblPr>
      <w:tblGrid>
        <w:gridCol w:w="456"/>
        <w:gridCol w:w="1984"/>
        <w:gridCol w:w="2520"/>
        <w:gridCol w:w="2553"/>
        <w:gridCol w:w="1557"/>
        <w:gridCol w:w="1418"/>
      </w:tblGrid>
      <w:tr>
        <w:trPr>
          <w:trHeight w:val="317" w:hRule="atLeast"/>
          <w:cantSplit w:val="true"/>
        </w:trPr>
        <w:tc>
          <w:tcPr>
            <w:tcW w:w="456"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Lp.</w:t>
            </w:r>
          </w:p>
        </w:tc>
        <w:tc>
          <w:tcPr>
            <w:tcW w:w="1984"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Cel ogólny</w:t>
            </w:r>
          </w:p>
        </w:tc>
        <w:tc>
          <w:tcPr>
            <w:tcW w:w="2520"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Cel szczegółowy</w:t>
            </w:r>
          </w:p>
        </w:tc>
        <w:tc>
          <w:tcPr>
            <w:tcW w:w="2553"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Przedsięwzięcia</w:t>
            </w:r>
          </w:p>
        </w:tc>
        <w:tc>
          <w:tcPr>
            <w:tcW w:w="1557"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Budżet</w:t>
            </w:r>
          </w:p>
        </w:tc>
        <w:tc>
          <w:tcPr>
            <w:tcW w:w="1418" w:type="dxa"/>
            <w:tcBorders>
              <w:top w:val="single" w:sz="2" w:space="0" w:color="000000"/>
              <w:left w:val="single" w:sz="2" w:space="0" w:color="000000"/>
              <w:bottom w:val="single" w:sz="4" w:space="0" w:color="000000"/>
              <w:right w:val="single" w:sz="2" w:space="0" w:color="000000"/>
            </w:tcBorders>
            <w:shd w:fill="C0C0C0"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before="0" w:after="160"/>
              <w:rPr>
                <w:rFonts w:ascii="Times New Roman" w:hAnsi="Times New Roman" w:cs="Times New Roman"/>
              </w:rPr>
            </w:pPr>
            <w:r>
              <w:rPr>
                <w:rFonts w:cs="Times New Roman" w:ascii="Times New Roman" w:hAnsi="Times New Roman"/>
              </w:rPr>
              <w:t>Razem</w:t>
            </w:r>
          </w:p>
        </w:tc>
      </w:tr>
      <w:tr>
        <w:trPr>
          <w:trHeight w:val="535" w:hRule="atLeast"/>
          <w:cantSplit w:val="true"/>
        </w:trPr>
        <w:tc>
          <w:tcPr>
            <w:tcW w:w="456" w:type="dxa"/>
            <w:vMerge w:val="restart"/>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 </w:t>
            </w:r>
            <w:r>
              <w:rPr>
                <w:rFonts w:cs="Times New Roman" w:ascii="Times New Roman" w:hAnsi="Times New Roman"/>
              </w:rPr>
              <w:t>1.</w:t>
            </w:r>
          </w:p>
        </w:tc>
        <w:tc>
          <w:tcPr>
            <w:tcW w:w="1984" w:type="dxa"/>
            <w:vMerge w:val="restart"/>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Wsparcie rozwoju gospodarczego i konkurencyjności obszaru LSR do 2023 r.</w:t>
            </w:r>
          </w:p>
        </w:tc>
        <w:tc>
          <w:tcPr>
            <w:tcW w:w="2520" w:type="dxa"/>
            <w:vMerge w:val="restart"/>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rPr>
                <w:rFonts w:ascii="Times New Roman" w:hAnsi="Times New Roman" w:cs="Times New Roman"/>
              </w:rPr>
            </w:pPr>
            <w:r>
              <w:rPr>
                <w:rFonts w:cs="Times New Roman" w:ascii="Times New Roman" w:hAnsi="Times New Roman"/>
              </w:rPr>
              <w:t>1. Rozwój przedsiębiorczości na obszarze LSR do 2023 roku</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Zakładanie działalności gospodarczej – konkurs na premię ryczałtową</w:t>
            </w:r>
          </w:p>
        </w:tc>
        <w:tc>
          <w:tcPr>
            <w:tcW w:w="1557"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color w:val="000000"/>
                <w:sz w:val="20"/>
                <w:szCs w:val="20"/>
              </w:rPr>
            </w:pPr>
            <w:r>
              <w:rPr>
                <w:rFonts w:cs="Times New Roman" w:ascii="Times New Roman" w:hAnsi="Times New Roman"/>
                <w:strike/>
                <w:color w:val="000000"/>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506 352,10 €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(2 025 408,40 zł)</w:t>
            </w:r>
          </w:p>
        </w:tc>
        <w:tc>
          <w:tcPr>
            <w:tcW w:w="1418" w:type="dxa"/>
            <w:vMerge w:val="restart"/>
            <w:tcBorders>
              <w:top w:val="single" w:sz="4" w:space="0" w:color="000000"/>
              <w:left w:val="single" w:sz="4" w:space="0" w:color="000000"/>
              <w:bottom w:val="single" w:sz="4" w:space="0" w:color="000000"/>
              <w:right w:val="single" w:sz="4" w:space="0" w:color="000000"/>
            </w:tcBorders>
            <w:shd w:fill="FFE599"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lineRule="auto" w:line="240" w:before="0" w:after="0"/>
              <w:rPr>
                <w:rFonts w:ascii="Times New Roman" w:hAnsi="Times New Roman" w:cs="Times New Roman"/>
                <w:b/>
                <w:b/>
                <w:strike/>
                <w:color w:val="000000"/>
                <w:sz w:val="20"/>
                <w:szCs w:val="20"/>
              </w:rPr>
            </w:pPr>
            <w:r>
              <w:rPr>
                <w:rFonts w:cs="Times New Roman" w:ascii="Times New Roman" w:hAnsi="Times New Roman"/>
                <w:b/>
                <w:strike/>
                <w:color w:val="000000"/>
                <w:sz w:val="20"/>
                <w:szCs w:val="20"/>
              </w:rPr>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845 000,00 €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(3 380 000,00 zł)</w:t>
            </w:r>
          </w:p>
        </w:tc>
      </w:tr>
      <w:tr>
        <w:trPr>
          <w:trHeight w:val="507" w:hRule="atLeast"/>
          <w:cantSplit w:val="true"/>
        </w:trPr>
        <w:tc>
          <w:tcPr>
            <w:tcW w:w="456" w:type="dxa"/>
            <w:vMerge w:val="continue"/>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1984" w:type="dxa"/>
            <w:vMerge w:val="continue"/>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2. Rozwój działalności gospodarczej - konkurs</w:t>
            </w:r>
          </w:p>
        </w:tc>
        <w:tc>
          <w:tcPr>
            <w:tcW w:w="1557" w:type="dxa"/>
            <w:tcBorders>
              <w:top w:val="single" w:sz="4" w:space="0" w:color="000000"/>
              <w:left w:val="single" w:sz="4" w:space="0" w:color="000000"/>
              <w:bottom w:val="single" w:sz="4" w:space="0" w:color="000000"/>
              <w:right w:val="single" w:sz="4" w:space="0" w:color="000000"/>
            </w:tcBorders>
            <w:shd w:fill="FFE59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color w:val="000000"/>
                <w:sz w:val="20"/>
                <w:szCs w:val="20"/>
              </w:rPr>
            </w:pPr>
            <w:r>
              <w:rPr>
                <w:rFonts w:cs="Times New Roman" w:ascii="Times New Roman" w:hAnsi="Times New Roman"/>
                <w:strike/>
                <w:color w:val="000000"/>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338 647,90 €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(1 354 591,60 zł)</w:t>
            </w:r>
          </w:p>
        </w:tc>
        <w:tc>
          <w:tcPr>
            <w:tcW w:w="1418" w:type="dxa"/>
            <w:vMerge w:val="continue"/>
            <w:tcBorders>
              <w:top w:val="single" w:sz="4" w:space="0" w:color="000000"/>
              <w:left w:val="single" w:sz="4" w:space="0" w:color="000000"/>
              <w:bottom w:val="single" w:sz="4" w:space="0" w:color="000000"/>
              <w:right w:val="single" w:sz="4" w:space="0" w:color="000000"/>
            </w:tcBorders>
            <w:shd w:fill="FFE599"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tc>
      </w:tr>
      <w:tr>
        <w:trPr>
          <w:trHeight w:val="497" w:hRule="atLeast"/>
          <w:cantSplit w:val="true"/>
        </w:trPr>
        <w:tc>
          <w:tcPr>
            <w:tcW w:w="456" w:type="dxa"/>
            <w:vMerge w:val="restart"/>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2.</w:t>
            </w:r>
          </w:p>
        </w:tc>
        <w:tc>
          <w:tcPr>
            <w:tcW w:w="1984" w:type="dxa"/>
            <w:vMerge w:val="restart"/>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Aktywizacja mieszkańców obszaru LSR i budowanie kapitału społecznego do 2023 r.</w:t>
            </w:r>
          </w:p>
        </w:tc>
        <w:tc>
          <w:tcPr>
            <w:tcW w:w="2520" w:type="dxa"/>
            <w:vMerge w:val="restart"/>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Aktywizacja i integracja mieszkańców obszaru LSR do 2023 roku</w:t>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Działania aktywizujące i integrujące mieszkańców – projekty grantowe</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107 000,00 €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(428 000,00 zł)</w:t>
            </w:r>
          </w:p>
        </w:tc>
        <w:tc>
          <w:tcPr>
            <w:tcW w:w="1418" w:type="dxa"/>
            <w:vMerge w:val="restart"/>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701 620,00 €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(2 806 480,00 zł)</w:t>
            </w:r>
          </w:p>
        </w:tc>
      </w:tr>
      <w:tr>
        <w:trPr>
          <w:trHeight w:val="278"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 xml:space="preserve">2. Funkcjonowanie LGD - </w:t>
            </w:r>
            <w:r>
              <w:rPr>
                <w:rFonts w:cs="Times New Roman" w:ascii="Times New Roman" w:hAnsi="Times New Roman"/>
                <w:sz w:val="24"/>
                <w:szCs w:val="24"/>
              </w:rPr>
              <w:t>realizowane na mocy umowy ramowej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351 620,00 €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FF0000"/>
                <w:sz w:val="20"/>
                <w:szCs w:val="20"/>
              </w:rPr>
            </w:pPr>
            <w:r>
              <w:rPr>
                <w:rFonts w:cs="Times New Roman" w:ascii="Times New Roman" w:hAnsi="Times New Roman"/>
                <w:color w:val="000000"/>
                <w:sz w:val="20"/>
                <w:szCs w:val="20"/>
              </w:rPr>
              <w:t>(1 406 480,00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color w:val="FF0000"/>
                <w:sz w:val="20"/>
                <w:szCs w:val="20"/>
              </w:rPr>
            </w:pPr>
            <w:r>
              <w:rPr>
                <w:rFonts w:cs="Times New Roman" w:ascii="Times New Roman" w:hAnsi="Times New Roman"/>
                <w:b/>
                <w:color w:val="FF0000"/>
                <w:sz w:val="20"/>
                <w:szCs w:val="20"/>
              </w:rPr>
            </w:r>
          </w:p>
        </w:tc>
      </w:tr>
      <w:tr>
        <w:trPr>
          <w:trHeight w:val="281"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rPr>
            </w:pPr>
            <w:r>
              <w:rPr>
                <w:rFonts w:cs="Times New Roman" w:ascii="Times New Roman" w:hAnsi="Times New Roman"/>
                <w:b/>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 xml:space="preserve">3. Projekty współpracy - </w:t>
            </w:r>
            <w:r>
              <w:rPr>
                <w:rFonts w:cs="Times New Roman" w:ascii="Times New Roman" w:hAnsi="Times New Roman"/>
                <w:sz w:val="24"/>
                <w:szCs w:val="24"/>
              </w:rPr>
              <w:t>realizowane na mocy umów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125 000,00 </w:t>
            </w:r>
            <w:r>
              <w:rPr>
                <w:rFonts w:cs="Times New Roman" w:ascii="Times New Roman" w:hAnsi="Times New Roman"/>
                <w:sz w:val="24"/>
                <w:szCs w:val="24"/>
              </w:rPr>
              <w:t>€</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sz w:val="20"/>
                <w:szCs w:val="20"/>
              </w:rPr>
              <w:t>(500 000,00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tc>
      </w:tr>
      <w:tr>
        <w:trPr>
          <w:trHeight w:val="281"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rPr>
            </w:pPr>
            <w:r>
              <w:rPr>
                <w:rFonts w:cs="Times New Roman" w:ascii="Times New Roman" w:hAnsi="Times New Roman"/>
                <w:b/>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color w:val="000000"/>
              </w:rPr>
            </w:pPr>
            <w:r>
              <w:rPr>
                <w:rFonts w:cs="Times New Roman" w:ascii="Times New Roman" w:hAnsi="Times New Roman"/>
                <w:color w:val="000000"/>
              </w:rPr>
              <w:t>4. Oddolne koncepcje rozwoju w skali mikro (Smart Village)</w:t>
            </w:r>
          </w:p>
        </w:tc>
        <w:tc>
          <w:tcPr>
            <w:tcW w:w="1557"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25.000,00 €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(100.000,00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tc>
      </w:tr>
      <w:tr>
        <w:trPr>
          <w:trHeight w:val="640" w:hRule="atLeast"/>
          <w:cantSplit w:val="true"/>
        </w:trPr>
        <w:tc>
          <w:tcPr>
            <w:tcW w:w="456"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rPr>
            </w:pPr>
            <w:r>
              <w:rPr>
                <w:rFonts w:cs="Times New Roman" w:ascii="Times New Roman" w:hAnsi="Times New Roman"/>
                <w:b/>
              </w:rPr>
            </w:r>
          </w:p>
        </w:tc>
        <w:tc>
          <w:tcPr>
            <w:tcW w:w="1984" w:type="dxa"/>
            <w:vMerge w:val="continue"/>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tcBorders>
              <w:top w:val="single" w:sz="4" w:space="0" w:color="000000"/>
              <w:left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2. Promocja zasobów lokalnych obszaru LSR do 2023 roku</w:t>
            </w:r>
          </w:p>
        </w:tc>
        <w:tc>
          <w:tcPr>
            <w:tcW w:w="2553" w:type="dxa"/>
            <w:tcBorders>
              <w:top w:val="single" w:sz="4" w:space="0" w:color="000000"/>
              <w:left w:val="single" w:sz="4" w:space="0" w:color="000000"/>
              <w:bottom w:val="single" w:sz="4" w:space="0" w:color="000000"/>
              <w:right w:val="single" w:sz="4" w:space="0" w:color="000000"/>
            </w:tcBorders>
            <w:shd w:fill="F7CAAC"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Promocja i informacja – projekty grantowe</w:t>
            </w:r>
          </w:p>
        </w:tc>
        <w:tc>
          <w:tcPr>
            <w:tcW w:w="1557" w:type="dxa"/>
            <w:tcBorders>
              <w:top w:val="single" w:sz="4" w:space="0" w:color="000000"/>
              <w:left w:val="single" w:sz="4" w:space="0" w:color="000000"/>
              <w:bottom w:val="single" w:sz="4" w:space="0" w:color="000000"/>
              <w:right w:val="single" w:sz="4" w:space="0" w:color="000000"/>
            </w:tcBorders>
            <w:shd w:fill="F7CAAC" w:val="clear"/>
            <w:vAlign w:val="cente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93 000,00 €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pPr>
            <w:r>
              <w:rPr>
                <w:rFonts w:cs="Times New Roman" w:ascii="Times New Roman" w:hAnsi="Times New Roman"/>
                <w:sz w:val="20"/>
                <w:szCs w:val="20"/>
              </w:rPr>
              <w:t>(372 000,00 zł)</w:t>
            </w:r>
          </w:p>
        </w:tc>
        <w:tc>
          <w:tcPr>
            <w:tcW w:w="1418" w:type="dxa"/>
            <w:vMerge w:val="continue"/>
            <w:tcBorders>
              <w:top w:val="single" w:sz="4" w:space="0" w:color="000000"/>
              <w:left w:val="single" w:sz="4" w:space="0" w:color="000000"/>
              <w:right w:val="single" w:sz="4" w:space="0" w:color="000000"/>
            </w:tcBorders>
            <w:shd w:fill="F7CAAC"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before="0" w:after="160"/>
              <w:jc w:val="center"/>
              <w:rPr>
                <w:rFonts w:ascii="Times New Roman" w:hAnsi="Times New Roman" w:cs="Times New Roman"/>
                <w:b/>
                <w:b/>
                <w:sz w:val="20"/>
                <w:szCs w:val="20"/>
              </w:rPr>
            </w:pPr>
            <w:r>
              <w:rPr>
                <w:rFonts w:cs="Times New Roman" w:ascii="Times New Roman" w:hAnsi="Times New Roman"/>
                <w:b/>
                <w:sz w:val="20"/>
                <w:szCs w:val="20"/>
              </w:rPr>
            </w:r>
          </w:p>
        </w:tc>
      </w:tr>
      <w:tr>
        <w:trPr>
          <w:trHeight w:val="640" w:hRule="atLeast"/>
          <w:cantSplit w:val="true"/>
        </w:trPr>
        <w:tc>
          <w:tcPr>
            <w:tcW w:w="456" w:type="dxa"/>
            <w:vMerge w:val="restart"/>
            <w:tcBorders>
              <w:top w:val="single" w:sz="4" w:space="0" w:color="000000"/>
              <w:left w:val="single" w:sz="4" w:space="0" w:color="000000"/>
              <w:right w:val="single" w:sz="4" w:space="0" w:color="000000"/>
            </w:tcBorders>
            <w:shd w:fill="C5E0B3"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160"/>
              <w:rPr>
                <w:rFonts w:ascii="Times New Roman" w:hAnsi="Times New Roman" w:cs="Times New Roman"/>
              </w:rPr>
            </w:pPr>
            <w:r>
              <w:rPr>
                <w:rFonts w:cs="Times New Roman" w:ascii="Times New Roman" w:hAnsi="Times New Roman"/>
              </w:rPr>
              <w:t>3.</w:t>
            </w:r>
          </w:p>
        </w:tc>
        <w:tc>
          <w:tcPr>
            <w:tcW w:w="1984" w:type="dxa"/>
            <w:vMerge w:val="restart"/>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Wzmocnienie atrakcyjności obszaru LSR do 2023 r.</w:t>
            </w:r>
          </w:p>
        </w:tc>
        <w:tc>
          <w:tcPr>
            <w:tcW w:w="2520" w:type="dxa"/>
            <w:vMerge w:val="restart"/>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Rozbudowa i poprawa standardu infrastruktury turystycznej i rekreacyjnej na obszarze LSR do 2023 roku</w:t>
            </w:r>
          </w:p>
        </w:tc>
        <w:tc>
          <w:tcPr>
            <w:tcW w:w="2553"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Infrastruktura turystyczna i rekreacyjna - konkurs</w:t>
            </w:r>
          </w:p>
        </w:tc>
        <w:tc>
          <w:tcPr>
            <w:tcW w:w="1557"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402.825,43 €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(1 611 301,72 zł)</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18" w:type="dxa"/>
            <w:vMerge w:val="restart"/>
            <w:tcBorders>
              <w:top w:val="single" w:sz="4" w:space="0" w:color="000000"/>
              <w:left w:val="single" w:sz="4" w:space="0" w:color="000000"/>
              <w:right w:val="single" w:sz="4" w:space="0" w:color="000000"/>
            </w:tcBorders>
            <w:shd w:fill="C5E0B3"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506 000,00 €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(2 024 000,00 zł)</w:t>
            </w:r>
          </w:p>
        </w:tc>
      </w:tr>
      <w:tr>
        <w:trPr>
          <w:trHeight w:val="640" w:hRule="atLeast"/>
          <w:cantSplit w:val="true"/>
        </w:trPr>
        <w:tc>
          <w:tcPr>
            <w:tcW w:w="456" w:type="dxa"/>
            <w:vMerge w:val="continue"/>
            <w:tcBorders>
              <w:top w:val="single" w:sz="4" w:space="0" w:color="000000"/>
              <w:left w:val="single" w:sz="4" w:space="0" w:color="000000"/>
              <w:right w:val="single" w:sz="4" w:space="0" w:color="000000"/>
            </w:tcBorders>
            <w:shd w:fill="C5E0B3"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1984" w:type="dxa"/>
            <w:vMerge w:val="continue"/>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before="0" w:after="160"/>
              <w:rPr>
                <w:rFonts w:ascii="Times New Roman" w:hAnsi="Times New Roman" w:cs="Times New Roman"/>
              </w:rPr>
            </w:pPr>
            <w:r>
              <w:rPr>
                <w:rFonts w:cs="Times New Roman" w:ascii="Times New Roman" w:hAnsi="Times New Roman"/>
              </w:rPr>
            </w:r>
          </w:p>
        </w:tc>
        <w:tc>
          <w:tcPr>
            <w:tcW w:w="2553"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before="0" w:after="160"/>
              <w:rPr>
                <w:rFonts w:ascii="Times New Roman" w:hAnsi="Times New Roman" w:cs="Times New Roman"/>
              </w:rPr>
            </w:pPr>
            <w:r>
              <w:rPr>
                <w:rFonts w:cs="Times New Roman" w:ascii="Times New Roman" w:hAnsi="Times New Roman"/>
              </w:rPr>
              <w:t>1. Infrastruktura turystyczna i rekreacyjna – projekty grantowe</w:t>
            </w:r>
          </w:p>
        </w:tc>
        <w:tc>
          <w:tcPr>
            <w:tcW w:w="1557" w:type="dxa"/>
            <w:tcBorders>
              <w:top w:val="single" w:sz="4" w:space="0" w:color="000000"/>
              <w:left w:val="single" w:sz="4" w:space="0" w:color="000000"/>
              <w:right w:val="single" w:sz="4" w:space="0" w:color="000000"/>
            </w:tcBorders>
            <w:shd w:fill="C5E0B3"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napToGrid w:val="false"/>
              <w:spacing w:lineRule="auto" w:line="240" w:before="0" w:after="0"/>
              <w:jc w:val="center"/>
              <w:rPr>
                <w:rFonts w:ascii="Times New Roman" w:hAnsi="Times New Roman" w:cs="Times New Roman"/>
                <w:strike/>
                <w:sz w:val="20"/>
                <w:szCs w:val="20"/>
              </w:rPr>
            </w:pPr>
            <w:r>
              <w:rPr>
                <w:rFonts w:cs="Times New Roman" w:ascii="Times New Roman" w:hAnsi="Times New Roman"/>
                <w:strike/>
                <w:sz w:val="20"/>
                <w:szCs w:val="20"/>
              </w:rPr>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103 174,57 €</w:t>
            </w:r>
          </w:p>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(449 165,00 zł)</w:t>
            </w:r>
          </w:p>
        </w:tc>
        <w:tc>
          <w:tcPr>
            <w:tcW w:w="1418" w:type="dxa"/>
            <w:vMerge w:val="continue"/>
            <w:tcBorders>
              <w:top w:val="single" w:sz="4" w:space="0" w:color="000000"/>
              <w:left w:val="single" w:sz="4" w:space="0" w:color="000000"/>
              <w:right w:val="single" w:sz="4" w:space="0" w:color="000000"/>
            </w:tcBorders>
            <w:shd w:fill="C5E0B3"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napToGrid w:val="false"/>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r>
      <w:tr>
        <w:trPr>
          <w:trHeight w:val="284" w:hRule="atLeast"/>
          <w:cantSplit w:val="true"/>
        </w:trPr>
        <w:tc>
          <w:tcPr>
            <w:tcW w:w="9070" w:type="dxa"/>
            <w:gridSpan w:val="5"/>
            <w:tcBorders>
              <w:top w:val="single" w:sz="4" w:space="0" w:color="000000"/>
              <w:left w:val="single" w:sz="4" w:space="0" w:color="000000"/>
              <w:bottom w:val="single" w:sz="4" w:space="0" w:color="000000"/>
              <w:right w:val="single" w:sz="4" w:space="0" w:color="000000"/>
            </w:tcBorders>
            <w:shd w:fill="D9D9D9" w:val="clear"/>
          </w:tcPr>
          <w:p>
            <w:pPr>
              <w:pStyle w:val="Normal"/>
              <w:tabs>
                <w:tab w:val="clear" w:pos="708"/>
                <w:tab w:val="left" w:pos="-31680" w:leader="none"/>
                <w:tab w:val="left" w:pos="-31504" w:leader="none"/>
                <w:tab w:val="left" w:pos="-30795" w:leader="none"/>
                <w:tab w:val="left" w:pos="-30086" w:leader="none"/>
                <w:tab w:val="left" w:pos="-29377" w:leader="none"/>
                <w:tab w:val="left" w:pos="-28668" w:leader="none"/>
                <w:tab w:val="left" w:pos="-27959" w:leader="none"/>
                <w:tab w:val="left" w:pos="-27250" w:leader="none"/>
                <w:tab w:val="left" w:pos="-26541" w:leader="none"/>
                <w:tab w:val="left" w:pos="-25832" w:leader="none"/>
                <w:tab w:val="left" w:pos="-25123" w:leader="none"/>
                <w:tab w:val="left" w:pos="-24414" w:leader="none"/>
                <w:tab w:val="left" w:pos="-23705" w:leader="none"/>
                <w:tab w:val="left" w:pos="-22996" w:leader="none"/>
                <w:tab w:val="left" w:pos="-22287" w:leader="none"/>
                <w:tab w:val="left" w:pos="-21578" w:leader="none"/>
                <w:tab w:val="left" w:pos="-20869" w:leader="none"/>
                <w:tab w:val="left" w:pos="-20160"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 w:val="left" w:pos="31680" w:leader="none"/>
              </w:tabs>
              <w:spacing w:lineRule="auto" w:line="240" w:before="0" w:after="0"/>
              <w:jc w:val="right"/>
              <w:rPr>
                <w:rFonts w:ascii="Times New Roman" w:hAnsi="Times New Roman" w:cs="Times New Roman"/>
                <w:b/>
                <w:b/>
                <w:color w:val="000000"/>
              </w:rPr>
            </w:pPr>
            <w:r>
              <w:rPr>
                <w:rFonts w:cs="Times New Roman" w:ascii="Times New Roman" w:hAnsi="Times New Roman"/>
                <w:b/>
                <w:color w:val="000000"/>
              </w:rPr>
              <w:t>RAZEM:</w:t>
            </w:r>
          </w:p>
        </w:tc>
        <w:tc>
          <w:tcPr>
            <w:tcW w:w="141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2 052620,00 €</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 w:val="left" w:pos="17725" w:leader="none"/>
                <w:tab w:val="left" w:pos="18434" w:leader="none"/>
                <w:tab w:val="left" w:pos="19143" w:leader="none"/>
                <w:tab w:val="left" w:pos="19852" w:leader="none"/>
                <w:tab w:val="left" w:pos="20561" w:leader="none"/>
                <w:tab w:val="left" w:pos="21270" w:leader="none"/>
                <w:tab w:val="left" w:pos="21979" w:leader="none"/>
                <w:tab w:val="left" w:pos="22688" w:leader="none"/>
                <w:tab w:val="left" w:pos="23397" w:leader="none"/>
                <w:tab w:val="left" w:pos="24106" w:leader="none"/>
                <w:tab w:val="left" w:pos="24815" w:leader="none"/>
                <w:tab w:val="left" w:pos="25524" w:leader="none"/>
                <w:tab w:val="left" w:pos="26233" w:leader="none"/>
                <w:tab w:val="left" w:pos="26942" w:leader="none"/>
                <w:tab w:val="left" w:pos="27651" w:leader="none"/>
                <w:tab w:val="left" w:pos="28360" w:leader="none"/>
                <w:tab w:val="left" w:pos="29069" w:leader="none"/>
                <w:tab w:val="left" w:pos="29778" w:leader="none"/>
                <w:tab w:val="left" w:pos="30487" w:leader="none"/>
                <w:tab w:val="left" w:pos="31196" w:leader="none"/>
              </w:tabs>
              <w:spacing w:lineRule="auto" w:line="240"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 xml:space="preserve">(8 210 480,00 zł) </w:t>
            </w:r>
          </w:p>
        </w:tc>
      </w:tr>
    </w:tbl>
    <w:p>
      <w:pPr>
        <w:pStyle w:val="Normal"/>
        <w:jc w:val="both"/>
        <w:rPr/>
      </w:pPr>
      <w:r>
        <w:rPr>
          <w:rFonts w:cs="Times New Roman" w:ascii="Times New Roman" w:hAnsi="Times New Roman"/>
          <w:sz w:val="24"/>
          <w:szCs w:val="24"/>
        </w:rPr>
        <w:t>Co najmniej</w:t>
      </w:r>
      <w:r>
        <w:rPr>
          <w:rFonts w:cs="Times New Roman" w:ascii="Times New Roman" w:hAnsi="Times New Roman"/>
          <w:color w:val="FF0000"/>
          <w:sz w:val="24"/>
          <w:szCs w:val="24"/>
        </w:rPr>
        <w:t xml:space="preserve"> </w:t>
      </w:r>
      <w:r>
        <w:rPr>
          <w:rFonts w:cs="Times New Roman" w:ascii="Times New Roman" w:hAnsi="Times New Roman"/>
          <w:sz w:val="24"/>
          <w:szCs w:val="24"/>
        </w:rPr>
        <w:t>50% budżetu w ramach poddziałania Realizacja LSR przeznaczono na operacje przyczyniające się do tworzenia lub utrzymania miejsc pracy. W przedsięwzięciu 1.1.1 oraz projektach realizowanych przez podmioty inne niż przedsiębiorcy i jednostki sektora finansów publicznych, przyjęto niższą intensywność pomocy niż wynikająca z programu. Dodatkowo wnioskodawcy, którzy zadeklarują wyższy udział wkładu własnego, niż minimalny określony w LSR, uzyskają dodatkowe punkty na etapie oceny (z wyjątkiem przedsięwzięcia 1.1.1). Ponadto w ramach projektów własnych LGD planuje większy udział własny, niż wynikający z przepisów.</w:t>
      </w:r>
    </w:p>
    <w:p>
      <w:pPr>
        <w:pStyle w:val="Normal"/>
        <w:jc w:val="both"/>
        <w:rPr>
          <w:rFonts w:ascii="Times New Roman" w:hAnsi="Times New Roman" w:cs="Times New Roman"/>
          <w:sz w:val="24"/>
          <w:szCs w:val="24"/>
        </w:rPr>
      </w:pPr>
      <w:r>
        <w:rPr>
          <w:rFonts w:cs="Times New Roman" w:ascii="Times New Roman" w:hAnsi="Times New Roman"/>
          <w:b/>
          <w:sz w:val="24"/>
          <w:szCs w:val="24"/>
        </w:rPr>
        <w:t xml:space="preserve">Uwagi zgłoszone w procesie konsultacji społecznych: </w:t>
      </w:r>
      <w:r>
        <w:rPr>
          <w:rFonts w:cs="Times New Roman" w:ascii="Times New Roman" w:hAnsi="Times New Roman"/>
          <w:sz w:val="24"/>
          <w:szCs w:val="24"/>
        </w:rPr>
        <w:t>Obecni na konsultacjach przedsiębiorcy podkreślali problem niskiej trwałości miejsc pracy w nowo zakładanych firmach. Do przyczyn tego stanu rzeczy zaliczano brak doświadczenia u osób podejmujących wyzwania, które są (osoby) długotrwale bezrobotne, więc nie posiadają doświadczenia i wiedzy ekonomicznej. Zwracano też uwagę na niskie wymagania PUP udzielającego dotacji na tego typu przedsięwzięcia. Podczas konsultacji wnioskowano, by rozszerzyć katalog beneficjentów planujących zakładanie nowych firm o osoby pracujące, aktywne zawodowo, które mają wiedzę, doświadczenie i motywację do prowadzenia działalności gospodarczej. Przedsiębiorcy zwracali też uwagę na potrzebę dofinansowania istniejących firm, stabilnych na lokalnym rynku, a potrzebujących wsparcia na rozwijanie działalności i tworzenie nowych miejsc pracy.</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IX. PLAN KOMUNIKACJI</w:t>
      </w:r>
    </w:p>
    <w:p>
      <w:pPr>
        <w:pStyle w:val="Normal"/>
        <w:jc w:val="both"/>
        <w:rPr>
          <w:rFonts w:ascii="Times New Roman" w:hAnsi="Times New Roman" w:cs="Times New Roman"/>
          <w:b/>
          <w:b/>
          <w:sz w:val="24"/>
          <w:szCs w:val="24"/>
        </w:rPr>
      </w:pPr>
      <w:r>
        <w:rPr>
          <w:rFonts w:cs="Times New Roman" w:ascii="Times New Roman" w:hAnsi="Times New Roman"/>
          <w:b/>
          <w:sz w:val="24"/>
          <w:szCs w:val="24"/>
        </w:rPr>
        <w:t>By komunikacja LGD CIW 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odpowiedniego komunikatu do adresatów, by pozytywnie wpłynąć na jakość i ilość składanych projektów, gdyż tę kwestię w poprzednim okresie uznano za najbardziej problematyczną. W planie komunikacji  szczegółowo określono grupy docelowe, ustalono cele i wskaźniki, jakie LGD chce osiągnąć, narzędzia i podejmowane działania oraz sposoby monitorowanie i reakcji na sytuacje kryzysowe.</w:t>
      </w:r>
    </w:p>
    <w:tbl>
      <w:tblPr>
        <w:tblW w:w="10353" w:type="dxa"/>
        <w:jc w:val="left"/>
        <w:tblInd w:w="-10" w:type="dxa"/>
        <w:tblLayout w:type="fixed"/>
        <w:tblCellMar>
          <w:top w:w="0" w:type="dxa"/>
          <w:left w:w="0" w:type="dxa"/>
          <w:bottom w:w="0" w:type="dxa"/>
          <w:right w:w="0" w:type="dxa"/>
        </w:tblCellMar>
      </w:tblPr>
      <w:tblGrid>
        <w:gridCol w:w="484"/>
        <w:gridCol w:w="9869"/>
      </w:tblGrid>
      <w:tr>
        <w:trPr>
          <w:tblHeader w:val="true"/>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b w:val="false"/>
                <w:b w:val="false"/>
                <w:szCs w:val="24"/>
              </w:rPr>
            </w:pPr>
            <w:r>
              <w:rPr>
                <w:rFonts w:cs="Times New Roman" w:ascii="Times New Roman" w:hAnsi="Times New Roman"/>
                <w:b w:val="false"/>
                <w:szCs w:val="24"/>
              </w:rPr>
              <w:t>LP</w:t>
            </w:r>
          </w:p>
        </w:tc>
        <w:tc>
          <w:tcPr>
            <w:tcW w:w="9869"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b w:val="false"/>
                <w:b w:val="false"/>
                <w:szCs w:val="24"/>
              </w:rPr>
            </w:pPr>
            <w:r>
              <w:rPr>
                <w:rFonts w:cs="Times New Roman" w:ascii="Times New Roman" w:hAnsi="Times New Roman"/>
                <w:b w:val="false"/>
                <w:szCs w:val="24"/>
              </w:rPr>
              <w:t>CELE</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Promowanie działań konkursowych prowadzonych przez LGD, ze szczególnym uwzględnieniem zasad przyznawania środków, kryteriów oceny projektów oraz celów strategii.</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dobrych praktykach, zaprezentowanie zrealizowanych projektów objętych dofinansowaniem ze środków LGD.</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 xml:space="preserve">Promocja stowarzyszenia oraz prowadzonych przez LGD działań statutowych. </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postępach w realizacji LSR.</w:t>
            </w:r>
          </w:p>
        </w:tc>
      </w:tr>
    </w:tbl>
    <w:p>
      <w:pPr>
        <w:pStyle w:val="BezformatowaniaAA"/>
        <w:shd w:fill="FFFFFF" w:val="clear"/>
        <w:rPr/>
      </w:pPr>
      <w:r>
        <w:rPr>
          <w:rFonts w:cs="Times New Roman"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LGD założyło:</w:t>
      </w:r>
    </w:p>
    <w:p>
      <w:pPr>
        <w:pStyle w:val="BezformatowaniaAA"/>
        <w:shd w:fill="FFFFFF" w:val="clear"/>
        <w:rPr>
          <w:rFonts w:ascii="Times New Roman" w:hAnsi="Times New Roman" w:cs="Times New Roman"/>
          <w:sz w:val="24"/>
          <w:szCs w:val="24"/>
        </w:rPr>
      </w:pPr>
      <w:r>
        <w:rPr>
          <w:rFonts w:cs="Times New Roman" w:ascii="Times New Roman" w:hAnsi="Times New Roman"/>
          <w:sz w:val="24"/>
          <w:szCs w:val="24"/>
        </w:rPr>
        <w:t>Wskaźniki produktu:</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osobodni szkoleń dla pracowników i organów LGD - 214 osobodni,</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podmiotów, którym udzielono indywidualnego doradztwa – 110 podmiotów,</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trike/>
          <w:sz w:val="24"/>
          <w:szCs w:val="24"/>
        </w:rPr>
      </w:pPr>
      <w:r>
        <w:rPr>
          <w:rFonts w:cs="Times New Roman" w:ascii="Times New Roman" w:hAnsi="Times New Roman"/>
          <w:sz w:val="24"/>
          <w:szCs w:val="24"/>
        </w:rPr>
        <w:t>liczba spotkań wydarzeń adresowanych do mieszkańców - 80</w:t>
      </w:r>
    </w:p>
    <w:p>
      <w:pPr>
        <w:pStyle w:val="BezformatowaniaAA"/>
        <w:rPr>
          <w:rFonts w:ascii="Times New Roman" w:hAnsi="Times New Roman" w:cs="Times New Roman"/>
          <w:sz w:val="24"/>
          <w:szCs w:val="24"/>
        </w:rPr>
      </w:pPr>
      <w:r>
        <w:rPr>
          <w:rFonts w:cs="Times New Roman" w:ascii="Times New Roman" w:hAnsi="Times New Roman"/>
          <w:sz w:val="24"/>
          <w:szCs w:val="24"/>
        </w:rPr>
        <w:t>Wskaźniki rezultatu:</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osób, które otrzymały wsparcie po uprzednim udzieleniu indywidualnego doradztwa w zakresie ubiegania się o wsparcie na realizację LSR, świadczonego w biurze LGD - 96 osób,</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osób uczestniczących w spotkaniach wydarzeniach adresowanych do mieszkańców – 1.600 osób,</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sz w:val="24"/>
          <w:szCs w:val="24"/>
        </w:rPr>
      </w:pPr>
      <w:r>
        <w:rPr>
          <w:rFonts w:cs="Times New Roman" w:ascii="Times New Roman" w:hAnsi="Times New Roman"/>
          <w:sz w:val="24"/>
          <w:szCs w:val="24"/>
        </w:rPr>
        <w:t>liczba osób zadowolonych ze spotkań przeprowadzonych przez LGD – 1.400 osób.</w:t>
      </w:r>
    </w:p>
    <w:p>
      <w:pPr>
        <w:pStyle w:val="Normal"/>
        <w:rPr>
          <w:rFonts w:ascii="Times New Roman" w:hAnsi="Times New Roman" w:cs="Times New Roman"/>
          <w:sz w:val="24"/>
          <w:szCs w:val="24"/>
        </w:rPr>
      </w:pPr>
      <w:r>
        <w:rPr>
          <w:rFonts w:cs="Times New Roman" w:ascii="Times New Roman" w:hAnsi="Times New Roman"/>
          <w:sz w:val="24"/>
          <w:szCs w:val="24"/>
        </w:rPr>
        <w:t>Szczegółowy opis planu komunikacji znajduje się w załączniku nr 5 do LSR.</w:t>
      </w:r>
    </w:p>
    <w:p>
      <w:pPr>
        <w:pStyle w:val="Normal"/>
        <w:jc w:val="both"/>
        <w:rPr>
          <w:rFonts w:ascii="Times New Roman" w:hAnsi="Times New Roman" w:cs="Times New Roman"/>
          <w:sz w:val="24"/>
          <w:szCs w:val="24"/>
        </w:rPr>
      </w:pPr>
      <w:r>
        <w:rPr>
          <w:rFonts w:cs="Times New Roman" w:ascii="Times New Roman" w:hAnsi="Times New Roman"/>
          <w:b/>
          <w:sz w:val="24"/>
          <w:szCs w:val="24"/>
        </w:rPr>
        <w:t xml:space="preserve">Uwagi zgłoszone w procesie konsultacji społecznych: </w:t>
      </w:r>
      <w:r>
        <w:rPr>
          <w:rFonts w:cs="Times New Roman" w:ascii="Times New Roman" w:hAnsi="Times New Roman"/>
          <w:sz w:val="24"/>
          <w:szCs w:val="24"/>
        </w:rPr>
        <w:t xml:space="preserve">Uczestnicy spotkań konsultacyjnych podkreślali potrzebę przeprowadzenia szerokiej akcji informacyjno – promocyjnej. Nadal jeszcze lokalna społeczność potrzebuje wsparcia, co umożliwi skorzystanie z unijnej pomocy szerszej grupie beneficjentów. Brak wiedzy/ informacji i ograniczenia z tego wynikające zaliczono do głównych problemów wiejskich środowisk. Podkreślano, że mieszkańcy zamieszkujący wsie powiatu łobeskiego tylko w niewielkim stopniu korzystają z internetu, więc należy skoncentrować się na działaniach informacyjnych tradycyjnymi metodami przekazu (ogłoszenia, plakaty, ulotki, udział w spotkaniach sołeckich). Wnioski uwzględniono w Planie Komunikacji (załącznik)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X. ZINTEGROWANIE</w:t>
      </w:r>
    </w:p>
    <w:p>
      <w:pPr>
        <w:pStyle w:val="Normal"/>
        <w:jc w:val="both"/>
        <w:rPr>
          <w:rFonts w:ascii="Times New Roman" w:hAnsi="Times New Roman" w:cs="Times New Roman"/>
          <w:b/>
          <w:b/>
          <w:sz w:val="24"/>
          <w:szCs w:val="24"/>
        </w:rPr>
      </w:pPr>
      <w:r>
        <w:rPr>
          <w:rFonts w:cs="Times New Roman" w:ascii="Times New Roman" w:hAnsi="Times New Roman"/>
          <w:sz w:val="24"/>
          <w:szCs w:val="24"/>
        </w:rPr>
        <w:t>LGD CIW za jedno z podstawowych założeń przyjęła kompleksowość działań oraz zintegrowanie różnych narzędzi, metod, partnerów i form komunikacji, aby zapewnić jak największy udział lokalnej społeczności procesie tworzenia LSR.</w:t>
      </w:r>
      <w:r>
        <w:rPr>
          <w:rFonts w:cs="Times New Roman" w:ascii="Times New Roman" w:hAnsi="Times New Roman"/>
          <w:b/>
          <w:sz w:val="24"/>
          <w:szCs w:val="24"/>
        </w:rPr>
        <w:t xml:space="preserve"> </w:t>
      </w:r>
      <w:r>
        <w:rPr>
          <w:rFonts w:cs="Times New Roman" w:ascii="Times New Roman" w:hAnsi="Times New Roman"/>
          <w:sz w:val="24"/>
          <w:szCs w:val="24"/>
        </w:rPr>
        <w:t xml:space="preserve">Głównym narzędziem w tym zakresie było zaproszenie do bezpośredniego udziału w pracach mieszkańców wszystkich gmin należących do obszaru LSR. W ramach spotkań odbyły się konsultacje, przede wszystkim dane zebrane w ramach prac zespołu roboczego zostały skonsultowane bezpośrednio ze społecznością lokalną. Mieszkańcy mieli możliwość zapoznania się z informacjami na temat postępów prac, kształtu LSR, ale także zapoznania się z opiniami i komentarzami innych osób. Był to pierwszy etap procesu integrowania lokalnej społeczności na szeroką skalę, w tym umożliwienie dialogu społecznego pomiędzy różnymi grupami i sektorami. Również na etapie realizacji Strategii, zadaniem Grupy będzie podtrzymanie działań integracyjnych, które wzmocnią uzyskiwane rezultaty.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Strategia tworzona w oparciu o zdiagnozowane problemy będzie realizowana zgodnie z wytycznymi na poziomie krajowym i europejskim. Definiując </w:t>
      </w:r>
      <w:r>
        <w:rPr>
          <w:rFonts w:cs="Times New Roman" w:ascii="Times New Roman" w:hAnsi="Times New Roman"/>
          <w:color w:val="000000"/>
          <w:sz w:val="24"/>
          <w:szCs w:val="24"/>
        </w:rPr>
        <w:t>cele i przedsięwzięcia LSR Grupa zadbała o ich zgodność przede wszystkim z 3 celami przekrojowymi PROW, czyli ochroną środowiska naturalnego, przeciwdziałaniem zmianom klimatycznym i innowacyjnością (elementy te premiowane będą we wszystkich typach operacji, za pośrednictwem odpowiednich kryteriów wyboru).</w:t>
      </w:r>
    </w:p>
    <w:p>
      <w:pPr>
        <w:pStyle w:val="Normal"/>
        <w:spacing w:lineRule="auto" w:line="240" w:before="60" w:after="0"/>
        <w:jc w:val="both"/>
        <w:rPr/>
      </w:pPr>
      <w:r>
        <w:rPr>
          <w:rFonts w:cs="Times New Roman" w:ascii="Times New Roman" w:hAnsi="Times New Roman"/>
          <w:sz w:val="24"/>
          <w:szCs w:val="24"/>
        </w:rPr>
        <w:t>Strategia będzie również wdrażana w konkretnych realiach występujących na obszarze, którego dotyczy. Potencjał i potrzeby mieszkańców obszaru LSR, w tym również całego województwa czy konkretnych grup społecznych są badane przez szereg podmiotów, instytucji publicznych i społecznych. One również wyznaczają kierunki działania i przeznaczają środki na realizację różnorodnych inicjatyw. Jest szczególnie istotne, aby inicjatywy te wzajemnie się uzupełniały. Wspólne kierunki interwencji pozwolą wzmocnić i utrwalić rezultaty, zwiększyć zasięg przy zachowaniu niższych kosztów realizacji przedsięwzięć. Dzięki podejściu Leader, działania w ramach LSR będą realizowane w bezpośredniej współpracy z lokalną społecznością. Równocześnie, cele ogólne i szczegółowe wyznaczone przez LGD są komplementarne w stosunku do celów i działań w ramach innych dokumentów strategicznych dotyczących obszaru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tbl>
      <w:tblPr>
        <w:tblW w:w="10456" w:type="dxa"/>
        <w:jc w:val="left"/>
        <w:tblInd w:w="-113" w:type="dxa"/>
        <w:tblLayout w:type="fixed"/>
        <w:tblCellMar>
          <w:top w:w="0" w:type="dxa"/>
          <w:left w:w="108" w:type="dxa"/>
          <w:bottom w:w="0" w:type="dxa"/>
          <w:right w:w="108" w:type="dxa"/>
        </w:tblCellMar>
      </w:tblPr>
      <w:tblGrid>
        <w:gridCol w:w="2026"/>
        <w:gridCol w:w="3639"/>
        <w:gridCol w:w="4791"/>
      </w:tblGrid>
      <w:tr>
        <w:trPr/>
        <w:tc>
          <w:tcPr>
            <w:tcW w:w="1045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both"/>
              <w:rPr/>
            </w:pPr>
            <w:r>
              <w:rPr>
                <w:rFonts w:cs="Times New Roman" w:ascii="Times New Roman" w:hAnsi="Times New Roman"/>
                <w:b/>
              </w:rPr>
              <w:t>CEL OGÓLNY 1. Wsparcie rozwoju gospodarczego i konkurencyjności obszaru LSR do 2023 r.</w:t>
            </w:r>
          </w:p>
        </w:tc>
      </w:tr>
      <w:tr>
        <w:trPr/>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szczegółowy</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Dokument strategiczny, z którym stwierdzono zgodność</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Cel/e pochodzący/e z dokumentu strategicznego</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1.1 Rozwój przedsiębiorczości na obszarze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6. Rozwój przedsiębiorczości i turystyki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 xml:space="preserve">Strategia Rozwoju Gminy Łobez </w:t>
            </w:r>
          </w:p>
          <w:p>
            <w:pPr>
              <w:pStyle w:val="Normal"/>
              <w:spacing w:lineRule="auto" w:line="240" w:before="60" w:after="0"/>
              <w:jc w:val="center"/>
              <w:rPr>
                <w:rFonts w:ascii="Times New Roman" w:hAnsi="Times New Roman" w:cs="Times New Roman"/>
              </w:rPr>
            </w:pPr>
            <w:r>
              <w:rPr>
                <w:rFonts w:cs="Times New Roman" w:ascii="Times New Roman" w:hAnsi="Times New Roman"/>
              </w:rPr>
              <w:t>na lata 2013-2020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Priorytet 3. Rozwój rynku pracy oraz ograniczanie zjawiska bezrobocia</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 xml:space="preserve">Cel Strategiczny 1. Wzrost innowacyjności i efektywności gospodarowania, </w:t>
            </w:r>
          </w:p>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2. Wzmacnianie mechanizmów rynkowych i otoczenia gospodarczego</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1. Wzrost jakości kapitału ludzkiego, społecznego, zatrudnienia i przedsiębiorczości na obszarach wiejskich</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Pobudzanie kreatywności, przedsiębiorczości i postaw innowacyjnych w społeczeństwie</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Kapitału Ludzkiego 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 xml:space="preserve">Cel szczegółowy 1. Wzrost zatrudnienia, </w:t>
            </w:r>
          </w:p>
          <w:p>
            <w:pPr>
              <w:pStyle w:val="Normal"/>
              <w:spacing w:lineRule="auto" w:line="240" w:before="60" w:after="0"/>
              <w:jc w:val="center"/>
              <w:rPr>
                <w:rFonts w:ascii="Times New Roman" w:hAnsi="Times New Roman" w:cs="Times New Roman"/>
              </w:rPr>
            </w:pPr>
            <w:r>
              <w:rPr>
                <w:rFonts w:cs="Times New Roman" w:ascii="Times New Roman" w:hAnsi="Times New Roman"/>
              </w:rPr>
              <w:t>Cel szczegółowy 2. Wydłużenie okresu aktywności zawodowej i zapewnienie lepszej jakości funkcjonowania osób starszych</w:t>
            </w:r>
          </w:p>
        </w:tc>
      </w:tr>
      <w:tr>
        <w:trPr/>
        <w:tc>
          <w:tcPr>
            <w:tcW w:w="1045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both"/>
              <w:rPr/>
            </w:pPr>
            <w:r>
              <w:rPr>
                <w:rFonts w:cs="Times New Roman" w:ascii="Times New Roman" w:hAnsi="Times New Roman"/>
                <w:b/>
              </w:rPr>
              <w:t>CEL OGÓLNY 2. Aktywizacja mieszkańców obszaru LSR i budowanie kapitału społecznego do 2023 roku</w:t>
            </w:r>
          </w:p>
        </w:tc>
      </w:tr>
      <w:tr>
        <w:trPr/>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szczegółowy</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Dokument strategiczny, z którym stwierdzono zgodność</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pochodzący z dokumentu strategicznego</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2.1 Aktywizacja i integracja mieszkańców obszaru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5. Tworzenie dogodnych warunków do życia mieszkańców i dla rozwoju gospodarki.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5. Budowanie otwartej i konkurencyjnej społeczności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2. Poprawa warunków życia na obszarach wiejskich oraz poprawa ich dostępności przestrzennej</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Pobudzanie kreatywności, przedsiębiorczości i postaw innowacyjnych w społeczeństwie</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Kapitału Ludzkiego 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szczegółowy 3. Poprawa sytuacji osób i grup zagrożonych wykluczeniem społecznym</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2.2 Promocja zasobów lokalnych obszaru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6. Rozwój przedsiębiorczości i turystyki</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Gminy Łobez</w:t>
            </w:r>
          </w:p>
          <w:p>
            <w:pPr>
              <w:pStyle w:val="Normal"/>
              <w:spacing w:lineRule="auto" w:line="240" w:before="60" w:after="0"/>
              <w:jc w:val="center"/>
              <w:rPr>
                <w:rFonts w:ascii="Times New Roman" w:hAnsi="Times New Roman" w:cs="Times New Roman"/>
              </w:rPr>
            </w:pPr>
            <w:r>
              <w:rPr>
                <w:rFonts w:cs="Times New Roman" w:ascii="Times New Roman" w:hAnsi="Times New Roman"/>
              </w:rPr>
              <w:t>na lata 2013-2020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Priorytet 1. Zrównoważony rozwój gospodarczy gminy Łobez oparty o unikalne walory przyrodnicze</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rPr>
            </w:pPr>
            <w:r>
              <w:rPr>
                <w:rFonts w:cs="Times New Roman" w:ascii="Times New Roman" w:hAnsi="Times New Roman"/>
              </w:rPr>
              <w:t>Cel Strategiczny 6. Wzrost tożsamości i spójności społecznej regionu</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2. Poprawa warunków życia na obszarach wiejskich oraz poprawa ich dostępności przestrzennej</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Kreowanie współpracy, kompetencji oraz infrastruktury wokół zidentyfikowanych obszarów specjalizacji regionalnych</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Kapitału Społecznego 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szczegółowy 3. Usprawnienie procesów komunikacji społecznej oraz wymiany wiedzy.</w:t>
            </w:r>
          </w:p>
        </w:tc>
      </w:tr>
      <w:tr>
        <w:trPr/>
        <w:tc>
          <w:tcPr>
            <w:tcW w:w="1045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both"/>
              <w:rPr/>
            </w:pPr>
            <w:r>
              <w:rPr>
                <w:rFonts w:cs="Times New Roman" w:ascii="Times New Roman" w:hAnsi="Times New Roman"/>
                <w:b/>
              </w:rPr>
              <w:t>CEL OGÓLNY 3. Wzmocnienie atrakcyjności obszaru LSR do 2023 roku</w:t>
            </w:r>
          </w:p>
        </w:tc>
      </w:tr>
      <w:tr>
        <w:trPr>
          <w:trHeight w:val="583" w:hRule="atLeast"/>
        </w:trPr>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szczegółowy</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Dokument strategiczny, z którym stwierdzono zgodność</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b/>
                <w:b/>
              </w:rPr>
            </w:pPr>
            <w:r>
              <w:rPr>
                <w:rFonts w:cs="Times New Roman" w:ascii="Times New Roman" w:hAnsi="Times New Roman"/>
                <w:b/>
              </w:rPr>
              <w:t>Cel pochodzący z dokumentu strategicznego</w:t>
            </w:r>
          </w:p>
        </w:tc>
      </w:tr>
      <w:tr>
        <w:trPr/>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rPr/>
            </w:pPr>
            <w:r>
              <w:rPr>
                <w:rFonts w:cs="Times New Roman" w:ascii="Times New Roman" w:hAnsi="Times New Roman"/>
              </w:rPr>
              <w:t>3.1 Rozbudowa i poprawa standardu, infrastruktury turystycznej i rekreacyjnej na obszarze LSR do 2023 roku</w:t>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(Program) Rozwoju Lokalnego Gminy Dobra</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2. Stworzenie warunków bazowo-organizacyjnych i szerokiej oferty kulturalno-oświatowej dla zaspokojenia potrzeb mieszkańców</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Gminy Łobez</w:t>
            </w:r>
          </w:p>
          <w:p>
            <w:pPr>
              <w:pStyle w:val="Normal"/>
              <w:spacing w:lineRule="auto" w:line="240" w:before="60" w:after="0"/>
              <w:jc w:val="center"/>
              <w:rPr>
                <w:rFonts w:ascii="Times New Roman" w:hAnsi="Times New Roman" w:cs="Times New Roman"/>
              </w:rPr>
            </w:pPr>
            <w:r>
              <w:rPr>
                <w:rFonts w:cs="Times New Roman" w:ascii="Times New Roman" w:hAnsi="Times New Roman"/>
              </w:rPr>
              <w:t>na lata 2013-2020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Priorytet 4. Podniesienie jakości życia mieszkańców gminy Łobez w aspekcie społecznym</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Województwa Zachodniopomorskiego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Strategiczny 3. Zwiększenie przestrzennej konkurencyjności regionu</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Zrównoważonego Rozwoju Wsi, Rolnictwa i Rybactwa na lata 2012–2020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2. Poprawa warunków życia na obszarach wiejskich oraz poprawa ich dostępności przestrzennej</w:t>
            </w:r>
          </w:p>
        </w:tc>
      </w:tr>
      <w:tr>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Regionalna Strategia Innowacji Województwa Zachodniopomorskiego na lata 2011-2020</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operacyjny: Kreowanie współpracy, kompetencji oraz infrastruktury wokół zidentyfikowanych obszarów specjalizacji regionalnych</w:t>
            </w:r>
          </w:p>
        </w:tc>
      </w:tr>
      <w:tr>
        <w:trPr>
          <w:trHeight w:val="294" w:hRule="atLeast"/>
        </w:trPr>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60" w:after="0"/>
              <w:jc w:val="both"/>
              <w:rPr>
                <w:rFonts w:ascii="Times New Roman" w:hAnsi="Times New Roman" w:cs="Times New Roman"/>
              </w:rPr>
            </w:pPr>
            <w:r>
              <w:rPr>
                <w:rFonts w:cs="Times New Roman" w:ascii="Times New Roman" w:hAnsi="Times New Roman"/>
              </w:rPr>
            </w:r>
          </w:p>
        </w:tc>
        <w:tc>
          <w:tcPr>
            <w:tcW w:w="36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Strategia Rozwoju Kraju do 2020 r.</w:t>
            </w:r>
          </w:p>
        </w:tc>
        <w:tc>
          <w:tcPr>
            <w:tcW w:w="4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cs="Times New Roman"/>
              </w:rPr>
            </w:pPr>
            <w:r>
              <w:rPr>
                <w:rFonts w:cs="Times New Roman" w:ascii="Times New Roman" w:hAnsi="Times New Roman"/>
              </w:rPr>
              <w:t>Cel III.3. Wzmocnienie mechanizmów terytorialnego równoważenia rozwoju oraz integracja przestrzenna dla rozwijania i pełnego wykorzystania potencjałów regionalnych</w:t>
            </w:r>
          </w:p>
        </w:tc>
      </w:tr>
    </w:tbl>
    <w:p>
      <w:pPr>
        <w:pStyle w:val="Normal"/>
        <w:spacing w:lineRule="auto" w:line="240" w:before="60" w:after="0"/>
        <w:jc w:val="both"/>
        <w:rPr>
          <w:rFonts w:ascii="Times New Roman" w:hAnsi="Times New Roman" w:cs="Times New Roman"/>
        </w:rPr>
      </w:pPr>
      <w:r>
        <w:rPr>
          <w:rFonts w:cs="Times New Roman" w:ascii="Times New Roman" w:hAnsi="Times New Roman"/>
        </w:rPr>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Zgodność na poziomie dokumentów strategicznych pozwala stwierdzić, że ustalenia, w oparciu o które wybrano obszary interwencji i kierunki zaplanowanych działań są zgodne z ustaleniami również innych podmiotów. Ponadto, oprócz zgodności na poziomie strategicznym, również realizacja przedsięwzięć będzie odbywała się w sposób kompleksowy, za pomocą różnych narzędzi i metod, z udziałem różnych wykonawców i w oparciu o możliwie jak najszerszy wachlarz lokalnych zasobów.</w:t>
      </w:r>
    </w:p>
    <w:p>
      <w:pPr>
        <w:pStyle w:val="Normal"/>
        <w:spacing w:lineRule="auto" w:line="240" w:before="60" w:after="0"/>
        <w:jc w:val="both"/>
        <w:rPr/>
      </w:pPr>
      <w:r>
        <w:rPr>
          <w:rFonts w:cs="Times New Roman" w:ascii="Times New Roman" w:hAnsi="Times New Roman"/>
          <w:sz w:val="24"/>
          <w:szCs w:val="24"/>
        </w:rPr>
        <w:t xml:space="preserve">Jednym z najważniejszych narzędzi w tym zakresie będzie premiowanie już podczas naborów projektów wyróżniających się wysokim poziomem </w:t>
      </w:r>
      <w:r>
        <w:rPr>
          <w:rFonts w:cs="Times New Roman" w:ascii="Times New Roman" w:hAnsi="Times New Roman"/>
          <w:b/>
          <w:sz w:val="24"/>
          <w:szCs w:val="24"/>
        </w:rPr>
        <w:t>zintegrowania podmiotowego</w:t>
      </w:r>
      <w:r>
        <w:rPr>
          <w:rFonts w:cs="Times New Roman" w:ascii="Times New Roman" w:hAnsi="Times New Roman"/>
          <w:sz w:val="24"/>
          <w:szCs w:val="24"/>
        </w:rPr>
        <w:t>, tj.:</w:t>
      </w:r>
    </w:p>
    <w:p>
      <w:pPr>
        <w:pStyle w:val="Normal"/>
        <w:spacing w:lineRule="auto" w:line="240" w:before="60" w:after="0"/>
        <w:jc w:val="both"/>
        <w:rPr/>
      </w:pPr>
      <w:r>
        <w:rPr>
          <w:rFonts w:cs="Times New Roman" w:ascii="Times New Roman" w:hAnsi="Times New Roman"/>
          <w:sz w:val="24"/>
          <w:szCs w:val="24"/>
        </w:rPr>
        <w:t>1. projektów, których autorzy wzięli udział w szkoleniach i doradztwie organizowanych przez LGD CIW w ramach naborów (kryterium przekrojowe). W ich ramach reprezentanci różnych środowisk, sektorów i grup wiekowych poznają zasady tworzenia projektów i prawidłowego wypełnienia formularza wniosku oraz dobre praktyki projektów realizowanych na obszarze LSR. Przede wszystkim zaś szkolenia przyjmą formę interaktywnych warsztatów, w ramach których uczestnicy wspólnie opracują swoje pomysły na projekt. Celem będzie zapoczątkowanie współpracy między tymi wnioskodawcami, a więc zapoczątkowanie dialogu społecznego i wspieranie procesu budowania partnerstw. Współpraca międzysektorowa rozwijana będzie również na forum samej Grupy, w ramach codziennej działalności i organizacji działań aktywizacyjnych dla mieszkańców.</w:t>
      </w:r>
    </w:p>
    <w:p>
      <w:pPr>
        <w:pStyle w:val="Normal"/>
        <w:spacing w:lineRule="auto" w:line="240" w:before="60" w:after="0"/>
        <w:jc w:val="both"/>
        <w:rPr/>
      </w:pPr>
      <w:r>
        <w:rPr>
          <w:rFonts w:cs="Times New Roman" w:ascii="Times New Roman" w:hAnsi="Times New Roman"/>
          <w:sz w:val="24"/>
          <w:szCs w:val="24"/>
        </w:rPr>
        <w:t>2. projektów realizowanych w partnerstwie (cel 2.2, cel 3.1). Prawidłowa realizacja projektów będzie cennym doświadczeniem dla młodych organizacji pozarządowych i liderów społecznych. Jednak równie ważne dla rozwoju sektora społecznego będzie nawiązanie trwałej współpracy między podmiotami działającymi w podobnym zakresie na tym samym obszarze. Wsparcie partnera będzie także cenne pod względem zwiększenia potencjału organizacyjnego i formalnego beneficjentów. Szczególną formą partnerstwa będą projekty o charakterze inwestycyjnym, realizowane przez instytucje publiczne (cel 2.1). W tym przypadku punkty otrzymają projekty, które uwzględnią udział mieszkańców na etapie przygotowań, w formie konsultacji społecznych z mieszkańcami obszaru objętego inwestycją.</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Równolegle do działań wyliczonych powyżej będzie wspierana integracja wewnątrz sektora gospodarczego. Oprócz spotkań i szkoleń przed naborami będą odbywały się specjalne spotkania dedykowane. Integracja obejmie co najmniej trzy branże działalności gospodarczej tj. sekcji G (handel), sekcji I (zakwaterowanie i gastronomia), sekcji R (rekreacja). Celem będzie przygotowanie młodych przedsiębiorców do wejścia na rynek, ale także lepszego poznania potrzeb sektora gospodarczego przez LGD oraz same podmioty, w szczególności z branż i sektorów uznanych za kluczowe. Kolejnym krokiem będzie wsparcie przez Grupę integracji międzysektorowej, w tym zaangażowanie przedsiębiorców jako mieszkańców w działania społeczne oraz promocja lokalnego rynku poprzez prezentację dobrych praktyk w ramach projektów realizowanych w celu ogólnym 1.</w:t>
      </w:r>
    </w:p>
    <w:p>
      <w:pPr>
        <w:pStyle w:val="Normal"/>
        <w:spacing w:lineRule="auto" w:line="240" w:before="60" w:after="0"/>
        <w:jc w:val="both"/>
        <w:rPr/>
      </w:pPr>
      <w:r>
        <w:rPr>
          <w:rFonts w:cs="Times New Roman" w:ascii="Times New Roman" w:hAnsi="Times New Roman"/>
          <w:sz w:val="24"/>
          <w:szCs w:val="24"/>
        </w:rPr>
        <w:t xml:space="preserve">Równie ważne dla LGD CIW będzie także osiągnięcie wysokiego poziomu </w:t>
      </w:r>
      <w:r>
        <w:rPr>
          <w:rFonts w:cs="Times New Roman" w:ascii="Times New Roman" w:hAnsi="Times New Roman"/>
          <w:b/>
          <w:sz w:val="24"/>
          <w:szCs w:val="24"/>
        </w:rPr>
        <w:t>zintegrowania pod względem przedmiotowym</w:t>
      </w:r>
      <w:r>
        <w:rPr>
          <w:rFonts w:cs="Times New Roman" w:ascii="Times New Roman" w:hAnsi="Times New Roman"/>
          <w:sz w:val="24"/>
          <w:szCs w:val="24"/>
        </w:rPr>
        <w:t>, tj. jak najpełniejsze i komplementarne wykorzystywanie zasobów lokalnych. W ramach naborów dodatkową preferencję otrzymają projekty, w ramach których wykorzystane zostaną zasoby i potencjał obszaru zdefiniowane w LSR jako kluczowe:</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wykorzystanie lokalnych zasobów rolnych (cel 1.1);</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wykorzystanie potencjału turystycznego – prowadzenie działalności związanej z branżą turystyczną (gastronomia, noclegi, obiekty rekreacyjne), (cel 1.1);</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wykorzystanie potencjału gospodarczego – prowadzenie działalności w zakresie wpisującym się w Regionalne Specjalizacje Województwa Zachodniopomorskiego, (cel 1.1);</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racjonalne i zrównoważone wykorzystanie zasobów energetycznych i ochrona walorów przyrodniczych – wykorzystanie metod i/lub narzędzi z zakresu ochrony środowiska, przeciwdziałania zmianom klimatu (kryterium przekrojowe, zgodne z celami przekrojowymi PROW);</w:t>
      </w:r>
    </w:p>
    <w:p>
      <w:pPr>
        <w:pStyle w:val="Akapitzlist"/>
        <w:numPr>
          <w:ilvl w:val="0"/>
          <w:numId w:val="40"/>
        </w:numPr>
        <w:spacing w:lineRule="auto" w:line="240" w:before="60" w:after="0"/>
        <w:contextualSpacing/>
        <w:jc w:val="both"/>
        <w:rPr/>
      </w:pPr>
      <w:r>
        <w:rPr>
          <w:rFonts w:cs="Times New Roman" w:ascii="Times New Roman" w:hAnsi="Times New Roman"/>
          <w:sz w:val="24"/>
          <w:szCs w:val="24"/>
        </w:rPr>
        <w:t>innowacyjne wykorzystanie zasobów i potencjału – wprowadzenie na rynek całkowicie nowej usługi lub produktu (cel 1.1, kryterium zgodne z celem przekrojowym PROW)</w:t>
      </w:r>
    </w:p>
    <w:p>
      <w:pPr>
        <w:pStyle w:val="Akapitzlist"/>
        <w:numPr>
          <w:ilvl w:val="0"/>
          <w:numId w:val="40"/>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bezpośrednia promocja zasobów przyrodniczych i/lub historycznych i/lub kulturowych obszaru LSR (cel 2, cel 3)</w:t>
      </w:r>
    </w:p>
    <w:p>
      <w:pPr>
        <w:pStyle w:val="Normal"/>
        <w:spacing w:lineRule="auto" w:line="240" w:before="60" w:after="0"/>
        <w:jc w:val="both"/>
        <w:rPr/>
      </w:pPr>
      <w:r>
        <w:rPr>
          <w:rFonts w:cs="Times New Roman" w:ascii="Times New Roman" w:hAnsi="Times New Roman"/>
          <w:sz w:val="24"/>
          <w:szCs w:val="24"/>
        </w:rPr>
        <w:t>Wspomniana wyżej innowacyjność, jako jeden z fundamentów podejścia Leader, została uwzględniona nie tylko na etapie planowania kryteriów preferencji w ramach naborów. Jest to cecha głęboko zakorzeniona w działaniach LGD CIW i pojawiła się już na poziomie samego funkcjonowania Grupy oraz procesu tworzenia LSR. Cenne doświadczenia zebrane w ramach realizacji LSR na lata 2007-2013 zostały wykorzystane, jednak równocześnie wprowadzono całkowicie nowe rozwiązania: na poziomie LGD, takie jak wprowadzenie projektów grantowych, jak również na poziomie całego Programu, jak dedykowanie działań i preferencji szczególnym grupom mieszkańców (defaworyzowanym w kontekście dostępu do rynku pracy).</w:t>
      </w:r>
    </w:p>
    <w:p>
      <w:pPr>
        <w:pStyle w:val="Normal"/>
        <w:spacing w:lineRule="auto" w:line="240" w:before="60" w:after="0"/>
        <w:jc w:val="both"/>
        <w:rPr/>
      </w:pPr>
      <w:r>
        <w:rPr>
          <w:rFonts w:cs="Times New Roman" w:ascii="Times New Roman" w:hAnsi="Times New Roman"/>
          <w:sz w:val="24"/>
          <w:szCs w:val="24"/>
        </w:rPr>
        <w:t>Ponadto, oprócz działań podnoszących poziom zintegrowania w ramach LSR w ramach poszczególnych celów ogólnych i szczegółowych, przyjęto rozwiązania zapewniające komplementarność na poziomie realizacji przedsięwzięć, a więc praktycznego rozdziału środków na realizację inicjatyw na obszarze. W ramach celu ogólnego 3, zdefiniowano cel szczegółowy 3.1, w ramach którego połączone zostaną różne metody, sektory i beneficjenci, których projekty będą wpisywały się w pewien cykl działań interwencyjnych.</w:t>
      </w:r>
    </w:p>
    <w:p>
      <w:pPr>
        <w:pStyle w:val="Normal"/>
        <w:spacing w:lineRule="auto" w:line="240" w:before="60" w:after="0"/>
        <w:jc w:val="both"/>
        <w:rPr/>
      </w:pPr>
      <w:r>
        <w:rPr>
          <w:rFonts w:cs="Times New Roman" w:ascii="Times New Roman" w:hAnsi="Times New Roman"/>
          <w:sz w:val="24"/>
          <w:szCs w:val="24"/>
        </w:rPr>
        <w:t xml:space="preserve">O wsparcie na realizację operacji związanych z infrastrukturą turystyczną i rekreacyjną (przedsięwzięcie 3.1.1) będą mogły się ubiegać różne podmioty, reprezentujące poszczególne sektory, jednak ze względu na skalę działań (inwestycje powyżej 50 tysięcy złotych) oraz ich charakter (infrastruktura publiczna, ogólnodostępna) będą to zapewne najczęściej podmioty z sektora publicznego. Będzie to ważny element dla osiągnięcia celu, jakim jest wzmocnienie atrakcyjności obszaru LSR. Dodatkowo zaplanowano jednak przedsięwzięcie 3.1.2, które pozwoli w ramach tego celu wzmocnić również poziom integracji społecznej i aktywności obywatelskiej lokalnej społeczności. </w:t>
      </w:r>
    </w:p>
    <w:p>
      <w:pPr>
        <w:pStyle w:val="Normal"/>
        <w:spacing w:lineRule="auto" w:line="240" w:before="60" w:after="0"/>
        <w:jc w:val="both"/>
        <w:rPr/>
      </w:pPr>
      <w:r>
        <w:rPr>
          <w:rFonts w:cs="Times New Roman" w:ascii="Times New Roman" w:hAnsi="Times New Roman"/>
          <w:sz w:val="24"/>
          <w:szCs w:val="24"/>
        </w:rPr>
        <w:t>Operacje w ramach tego przedsięwzięcia mogą dotyczyć inwestycji związanych z infrastrukturą turystyczną i rekreacyjną, jednak na mniejszą skalę (inwestycje do 50 tys. złotych) oraz realizowanych przez sektor społeczny, mieszkańców obszaru LSR. W tym celu przedsięwzięcie będzie realizowane w innej formie – projektu grantowego, a nie konkursu. W rezultacie, w tym samym celu zostaną podjęte działania z wykorzystaniem nieco innych narzędzi, w różny sposób angażujące lokalną społeczność oraz wzmacniające dialog społeczny między różnymi sektorami. Pozwoli to m.in. zapewnić trwałość rezultatów projektów, gdyż wzmocnione zostanie poczucie tożsamości lokalnej (troska o wspólne dobro udostępnione w ramach inwestycji).</w:t>
      </w:r>
    </w:p>
    <w:p>
      <w:pPr>
        <w:pStyle w:val="Normal"/>
        <w:spacing w:lineRule="auto" w:line="240" w:before="60" w:after="0"/>
        <w:jc w:val="both"/>
        <w:rPr/>
      </w:pPr>
      <w:r>
        <w:rPr>
          <w:rFonts w:cs="Times New Roman" w:ascii="Times New Roman" w:hAnsi="Times New Roman"/>
          <w:sz w:val="24"/>
          <w:szCs w:val="24"/>
        </w:rPr>
        <w:t xml:space="preserve">Dodatkowo, sekwencja interwencji zaplanowana w ramach tych przedsięwzięć będzie uwzględniała narzędzia wspierające, takie jak działania komunikacyjne prowadzone przez LGD, wspomniane wcześniej preferencje punktowe zachęcające do działania zgodnego z założeniami LGD, czy promowanie i rozpowszechnianie informacji na temat realizowanych projektów.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Rolę ambasadorów Strategii przyjmą także sami beneficjenci. Pozytywne doświadczenia w realizacji projektów, współpracy z partnerami projektowymi, ale także w działaniu we wspólnym celu z sektorem publicznym będzie zachętą dla tych podmiotów do dalszego angażowania się w życie lokalnej społeczności, w ramach LSR, w ramach PROW, ale także innych programów i źródeł finansowania. Bardzo ważne będzie także samo podniesienie poziomu wiedzy i umiejętności wśród grantobiorców. Z kolei pozytywne doświadczenia LGD będą mogły być wykorzystane w ramach transferu wiedzy w projektach współpracy, a także ogólnej promocji obszaru (cel 2.2). Celem będzie stałe angażowanie nowych osób, grup i podmiotów w realizację kolejnych inicjatyw, dzięki czemu sekwencja interwencji zostanie zamknięta w pełnym cyklu.</w:t>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t>XI. MONITORING I  EWALUACJA</w:t>
      </w:r>
    </w:p>
    <w:p>
      <w:pPr>
        <w:pStyle w:val="Normal"/>
        <w:spacing w:lineRule="auto" w:line="240" w:before="60" w:after="0"/>
        <w:jc w:val="both"/>
        <w:rPr/>
      </w:pPr>
      <w:r>
        <w:rPr>
          <w:rFonts w:cs="Times New Roman" w:ascii="Times New Roman" w:hAnsi="Times New Roman"/>
          <w:sz w:val="24"/>
          <w:szCs w:val="24"/>
        </w:rPr>
        <w:t xml:space="preserve">Realizacja LSR będzie podlegać stałemu monitoringowi oraz procesowi ewaluacji, które pozwolą na szybką reakcję w przypadku zaistnienia problemów lub zagrożeń na każdym etapie wdrażania. </w:t>
      </w:r>
    </w:p>
    <w:p>
      <w:pPr>
        <w:pStyle w:val="Normal"/>
        <w:spacing w:lineRule="auto" w:line="240" w:before="60" w:after="0"/>
        <w:jc w:val="both"/>
        <w:rPr/>
      </w:pPr>
      <w:r>
        <w:rPr>
          <w:rFonts w:cs="Times New Roman" w:ascii="Times New Roman" w:hAnsi="Times New Roman"/>
          <w:sz w:val="24"/>
          <w:szCs w:val="24"/>
        </w:rPr>
        <w:t>Działania monitorujące będą prowadzone w ramach prowadzenia czynności zaplanowanych przez LGD w planie działania i planie komunikacji związane z ogłoszeniem naborów wniosków, promocją i komunikacją z mieszkańcami obszaru LSR oraz samym funkcjonowaniem LGD. Ocenie będą również podlegać poziomy realizacji budżetu i wskaźników oraz poziom aktywizacji mieszkańców jako wnioskodawców w ramach naborów. Proces monitoringu rozpocznie się od pierwszego dnia realizacji umowy o warunkach i sposobie realizacji LSR aż po dzień jej oficjalnego zakończenia.</w:t>
      </w:r>
    </w:p>
    <w:p>
      <w:pPr>
        <w:pStyle w:val="Normal"/>
        <w:spacing w:lineRule="auto" w:line="240" w:before="60" w:after="0"/>
        <w:jc w:val="both"/>
        <w:rPr>
          <w:rFonts w:ascii="Times New Roman" w:hAnsi="Times New Roman" w:cs="Times New Roman"/>
          <w:strike/>
          <w:color w:val="000000"/>
          <w:sz w:val="24"/>
          <w:szCs w:val="24"/>
        </w:rPr>
      </w:pPr>
      <w:r>
        <w:rPr>
          <w:rFonts w:cs="Times New Roman" w:ascii="Times New Roman" w:hAnsi="Times New Roman"/>
          <w:sz w:val="24"/>
          <w:szCs w:val="24"/>
        </w:rPr>
        <w:t xml:space="preserve">Proces ewaluacji będzie odbywał się w formie </w:t>
      </w:r>
      <w:r>
        <w:rPr>
          <w:rFonts w:cs="Times New Roman" w:ascii="Times New Roman" w:hAnsi="Times New Roman"/>
          <w:color w:val="000000"/>
          <w:sz w:val="24"/>
          <w:szCs w:val="24"/>
        </w:rPr>
        <w:t xml:space="preserve">ewaluacji wewnętrznej i zewnętrznej.         </w:t>
      </w:r>
    </w:p>
    <w:p>
      <w:pPr>
        <w:pStyle w:val="Default"/>
        <w:spacing w:before="60" w:after="0"/>
        <w:jc w:val="both"/>
        <w:rPr/>
      </w:pPr>
      <w:r>
        <w:rPr>
          <w:b/>
        </w:rPr>
        <w:t>Ewaluacja</w:t>
      </w:r>
      <w:r>
        <w:rPr/>
        <w:t xml:space="preserve"> </w:t>
      </w:r>
      <w:r>
        <w:rPr>
          <w:b/>
          <w:bCs/>
        </w:rPr>
        <w:t xml:space="preserve">wewnętrzna </w:t>
      </w:r>
      <w:r>
        <w:rPr/>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 oparciu o </w:t>
      </w:r>
      <w:r>
        <w:rPr>
          <w:b/>
          <w:bCs/>
        </w:rPr>
        <w:t xml:space="preserve">warsztat refleksyjny </w:t>
      </w:r>
      <w:r>
        <w:rPr/>
        <w:t xml:space="preserve">z udziałem pracowników Biura LGD, członków Zarządu </w:t>
        <w:br/>
        <w:t xml:space="preserve">i Rady LGD. Do udziału w warsztatach mogą zostać zaproszeni także przedstawiciele beneficjantów, samorządu województwa lub innych LGD. </w:t>
      </w:r>
    </w:p>
    <w:p>
      <w:pPr>
        <w:pStyle w:val="Default"/>
        <w:spacing w:before="60" w:after="0"/>
        <w:jc w:val="both"/>
        <w:rPr/>
      </w:pPr>
      <w:r>
        <w:rPr>
          <w:b/>
        </w:rPr>
        <w:t xml:space="preserve">Ewaluacja </w:t>
      </w:r>
      <w:r>
        <w:rPr>
          <w:b/>
          <w:bCs/>
        </w:rPr>
        <w:t xml:space="preserve">zewnętrza </w:t>
      </w:r>
      <w:r>
        <w:rPr/>
        <w:t xml:space="preserve">zostanie przeprowadzona jednokrotnie w latach 2020 – </w:t>
      </w:r>
      <w:r>
        <w:rPr>
          <w:color w:val="000000"/>
        </w:rPr>
        <w:t>2023</w:t>
      </w:r>
      <w:r>
        <w:rPr/>
        <w:t xml:space="preserve"> przez niezależnego ewaluatora – zewnętrznego wykonawcę.</w:t>
      </w:r>
    </w:p>
    <w:p>
      <w:pPr>
        <w:pStyle w:val="Normal"/>
        <w:spacing w:lineRule="auto" w:line="240" w:before="60" w:after="0"/>
        <w:jc w:val="both"/>
        <w:rPr/>
      </w:pPr>
      <w:r>
        <w:rPr>
          <w:rFonts w:cs="Times New Roman" w:ascii="Times New Roman" w:hAnsi="Times New Roman"/>
          <w:color w:val="000000"/>
          <w:sz w:val="24"/>
          <w:szCs w:val="24"/>
        </w:rPr>
        <w:t>Wyniki ewaluacji wewnętrznej oraz ewaluacji zewnętrznej</w:t>
      </w:r>
      <w:r>
        <w:rPr>
          <w:rFonts w:cs="Times New Roman" w:ascii="Times New Roman" w:hAnsi="Times New Roman"/>
          <w:color w:val="FF0000"/>
          <w:sz w:val="24"/>
          <w:szCs w:val="24"/>
        </w:rPr>
        <w:t xml:space="preserve"> </w:t>
      </w:r>
      <w:r>
        <w:rPr>
          <w:rFonts w:cs="Times New Roman" w:ascii="Times New Roman" w:hAnsi="Times New Roman"/>
          <w:sz w:val="24"/>
          <w:szCs w:val="24"/>
        </w:rPr>
        <w:t>w formie raportu przygotowanego przez podmiot zewnętrzny będą dla LGD narzędziem do wprowadzania ewentualnych korekt w zakresie skuteczności działań:</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osiąganiu założonych celów zgodnie z harmonogramem realizacji wskaźników założonym w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realizacji tych założeń zgodnie z wymogami dokumentów zewnętrznych, w szczególności umowy o warunkach i sposobie realizacji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zaangażowaniu społeczności lokalnej w realizację założeń LSR, stanowiącej dowód na przyjęcie prawidłowych obszarów interwencji, wyznaczenie celów zgodnych z potrzebami oraz prowadzenie odpowiednio intensywnych działań komunikacyjnych,</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w uzyskiwaniu trwałych efektów na obszarze LSR, jako dowód na wybór odpowiednich projektów i przyjęcie prawidłowych kryteriów w ramach poszczególnych przedsięwzięć.</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Rekomendacje zawarte w raportach ewaluacyjnych będą podstawą do aktualizacji LSR.</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b/>
          <w:sz w:val="24"/>
          <w:szCs w:val="24"/>
        </w:rPr>
        <w:t>Uwagi zgłoszone w procesie konsultacji społecznych:</w:t>
      </w:r>
      <w:r>
        <w:rPr>
          <w:rFonts w:cs="Times New Roman" w:ascii="Times New Roman" w:hAnsi="Times New Roman"/>
          <w:sz w:val="24"/>
          <w:szCs w:val="24"/>
        </w:rPr>
        <w:t xml:space="preserve"> członkowie organów LGD CIW wnioskowali, by sporządzać okresowe raporty zawierające efekty realizacji LSR, postęp w wydatkowaniu środków na działalność bieżącą stowarzyszenia oraz informacje o trwających i zakończonych projektach i działaniach. Zgłoszono pomysł, by raporty były przedstawiane na Walnych Zebraniu członków LGD CIW i podawane do publicznej wiadomości poprzez zamieszczenie na stronie internetowej. Organem odpowiedzialnym za prowadzenie monitoringu przy współpracy z Biurem LGD CIW będzie Komisja Rewizyjna, która powinna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mieć możliwości zlecania niektórych zadań ekspertom zewnętrznym.</w:t>
      </w:r>
    </w:p>
    <w:p>
      <w:pPr>
        <w:pStyle w:val="Normal"/>
        <w:tabs>
          <w:tab w:val="clear" w:pos="708"/>
          <w:tab w:val="left" w:pos="7380" w:leader="none"/>
        </w:tabs>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08"/>
          <w:tab w:val="left" w:pos="7380" w:leader="none"/>
        </w:tabs>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center"/>
        <w:rPr>
          <w:rFonts w:ascii="Times New Roman" w:hAnsi="Times New Roman" w:cs="Times New Roman"/>
          <w:sz w:val="24"/>
          <w:szCs w:val="24"/>
        </w:rPr>
      </w:pPr>
      <w:r>
        <w:rPr>
          <w:rFonts w:cs="Times New Roman" w:ascii="Times New Roman" w:hAnsi="Times New Roman"/>
          <w:b/>
          <w:sz w:val="24"/>
          <w:szCs w:val="24"/>
        </w:rPr>
        <w:t>XII. STRATEGICZNA OCENA ODDZIAŁYWANIA NA ŚRODOWISKO</w:t>
      </w:r>
    </w:p>
    <w:p>
      <w:pPr>
        <w:pStyle w:val="Normal"/>
        <w:spacing w:lineRule="auto" w:line="240" w:before="6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Na podstawie art. 48 ustawy z dnia 3 października 2008 r. o udostępnianiu informacji o środowisku i jego ochronie, udziale społeczeństwa w ochronie środowiska oraz o ocenach oddziaływania na środowisko (Dz. U. z 2013 r. poz.1235 z późn. zm.) Zarząd LGD CIW opracowujący projekt dokumentu pn. Lokalna Strategia Rozwoju Centrum Inicjatyw Wiejskich na lata 2014-2020 w ramach wdrażania Programu Rozwoju Obszarów Wiejskich na lata 2014-2020 w zakresie inicjatywy Leader, (jako dokumentu, o którym mowa w art. 46 pkt 1, 2 i 3), może, po uzgodnieniu z właściwymi organami, odstąpić od przeprowadzenia strategicznej oceny oddziaływania na środowisko, jeżeli uzna, że realizacja postanowień danego dokumentu nie spowoduje znaczącego oddziaływania na środowisko.</w:t>
      </w:r>
    </w:p>
    <w:p>
      <w:pPr>
        <w:pStyle w:val="Normal"/>
        <w:spacing w:lineRule="auto" w:line="276" w:before="0" w:after="200"/>
        <w:jc w:val="both"/>
        <w:rPr/>
      </w:pPr>
      <w:r>
        <w:rPr>
          <w:rFonts w:cs="Times New Roman" w:ascii="Times New Roman" w:hAnsi="Times New Roman"/>
          <w:sz w:val="24"/>
          <w:szCs w:val="24"/>
        </w:rPr>
        <w:t>W związku z wykonywaniem przez Stowarzyszenie Lokalna Grupa Działania Centrum Inicjatyw Wiejskich zadania, polegającego na tworzeniu i opracowaniu projektu dokumentu pn. Lokalna Strategia Rozwoju Centrum Inicjatyw Wiejskich na lata 2014-2020  współfinansowanego ze środków Europejskiego Funduszu Rolnego na rzecz Rozwoju Obszarów Wiejskich (EFRROW) w ramach Programu Rozwoju Obszarów Wiejskich na lata 2014-2020 w zakresie inicjatywy Leader, Zarząd LGD Centrum Inicjatyw Wiejskich w dniu 03 grudnia 2015 r. w imieniu Stowarzyszenia wystąpił do</w:t>
      </w:r>
      <w:r>
        <w:rPr/>
        <w:t xml:space="preserve"> </w:t>
      </w:r>
      <w:r>
        <w:rPr>
          <w:rFonts w:cs="Times New Roman" w:ascii="Times New Roman" w:hAnsi="Times New Roman"/>
          <w:b/>
          <w:sz w:val="24"/>
          <w:szCs w:val="24"/>
        </w:rPr>
        <w:t xml:space="preserve">Regionalnego Dyrektora Ochrony Środowiska w Szczecinie </w:t>
      </w:r>
      <w:r>
        <w:rPr>
          <w:rFonts w:cs="Times New Roman" w:ascii="Times New Roman" w:hAnsi="Times New Roman"/>
          <w:sz w:val="24"/>
          <w:szCs w:val="24"/>
        </w:rPr>
        <w:t>oraz</w:t>
      </w:r>
      <w:r>
        <w:rPr>
          <w:rFonts w:cs="Times New Roman" w:ascii="Times New Roman" w:hAnsi="Times New Roman"/>
          <w:b/>
          <w:sz w:val="24"/>
          <w:szCs w:val="24"/>
        </w:rPr>
        <w:t xml:space="preserve"> do Państwowego Powiatowego Inspektora Sanitarnego w Szczecinie </w:t>
      </w:r>
      <w:r>
        <w:rPr>
          <w:rFonts w:cs="Times New Roman" w:ascii="Times New Roman" w:hAnsi="Times New Roman"/>
          <w:sz w:val="24"/>
          <w:szCs w:val="24"/>
        </w:rPr>
        <w:t>o uzgodnienie odstąpienia od obowiązku przeprowadzenia strategicznej oceny oddziaływania na środowisko projektu dokumentu pn. Lokalna Strategia Rozwoju Centrum Inicjatyw Wiejskich na lata 2014-2020 w ramach wdrażania Programu Rozwoju Obszarów Wiejskich na lata 2014-2020 w zakresie inicjatywy Leader wdrażanej poprzez Rozwój Lokalny Kierowany przez Społeczność (RLKS).</w:t>
      </w:r>
    </w:p>
    <w:p>
      <w:pPr>
        <w:pStyle w:val="Normal"/>
        <w:spacing w:lineRule="auto" w:line="276" w:before="0" w:after="200"/>
        <w:jc w:val="both"/>
        <w:rPr/>
      </w:pPr>
      <w:r>
        <w:rPr>
          <w:rFonts w:cs="Times New Roman" w:ascii="Times New Roman" w:hAnsi="Times New Roman"/>
          <w:b/>
          <w:sz w:val="24"/>
          <w:szCs w:val="24"/>
        </w:rPr>
        <w:t>Zachodniopomorski Państwowy Wojewódzki Inspektor Sanitarny w Szczecinie</w:t>
      </w:r>
      <w:r>
        <w:rPr>
          <w:rFonts w:cs="Times New Roman" w:ascii="Times New Roman" w:hAnsi="Times New Roman"/>
          <w:sz w:val="24"/>
          <w:szCs w:val="24"/>
        </w:rPr>
        <w:t xml:space="preserve"> pismem z dnia 09 grudnia 2015 r., znak: NZNS.7040.1.107.2015 </w:t>
      </w:r>
      <w:r>
        <w:rPr>
          <w:rFonts w:cs="Times New Roman" w:ascii="Times New Roman" w:hAnsi="Times New Roman"/>
          <w:b/>
          <w:sz w:val="24"/>
          <w:szCs w:val="24"/>
        </w:rPr>
        <w:t>wydał opinię, że nie jest konieczne przeprowadzenie strategicznej oceny oddziaływania na środowisko dla dokumentu „Lokalnej Strategii Rozwoju” opracowanej przez LGD Centrum Inicjatyw Wiejskich</w:t>
      </w:r>
      <w:r>
        <w:rPr>
          <w:rFonts w:cs="Times New Roman" w:ascii="Times New Roman" w:hAnsi="Times New Roman"/>
          <w:sz w:val="24"/>
          <w:szCs w:val="24"/>
        </w:rPr>
        <w:t>. W uzasadnieniu do wydanej opinii stwierdza się, co następuje:</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Lokalna Strategia Rozwoju jest dokumentem opracowanym w ramach RLKS objętego PROW na lata 2014-2020 i obejmuje obszar 5 gmin położonych na terenie powiatu łobeskiego, tj. Łobez, Dobra, Resko, Radowo Małe, Węgorzyno. Strategia ma stanowić instrument realizacji założeń Strategii Rozwoju Województwa Zachodniopomorskiego 2020 poprzez m. in. wykorzystanie środków unijnych z PROW na lata 2014-2020.</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Z przedłożonych materiałów wynika, że niniejszy dokument nie wyznacza ram dla późniejszej realizacji przedsięwzięć mogących zawsze znacząco oddziaływać na środowisko, jak również przedsięwzięć mogących potencjalnie znacząco oddziaływać na środowisko, z uwagi na to, iż jego istotą jest m. in. przekazanie środków unijnych na działania wpływające na zrównoważony rozwój regionu, co bezpośrednio przyczyni się do wdrażania prawa wspólnotowego w dziedzinie ochrony środowiska. Brak jest szczegółowych parametrów przedsięwzięć inwestycyjnych ( zależne jest to od wniosków przyszłych beneficjentów), takich jak ich lokalizacja, typ oraz skala czy też powierzchnia zabudowy inwestycji.</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Dokument obejmować będzie działania z zakresu ożywienia społeczno – gospodarczego obszarów wiejskich poprzez aktywizację mieszkańców oraz poprawę uczestnictwa tych osób w życiu społecznym i gospodarczym. Zadania inwestycyjne i nie inwestycyjne w projektowanej LSR skupiać się będą przede wszystkim na wspieraniu udziału społeczności lokalnej w realizacji LSR; wzmocnieniu kapitału społecznego, w tym przez podnoszenie wiedzy społeczności lokalnej w zakresie ochrony środowiska i zmian klimatycznych, także z wykorzystaniem rozwiązań innowacyjnych; rozwoju przedsiębiorczości na obszarze objętym LSR; rozwoju rynków zbytu produktów i usług lokalnych; zachowaniu dziedzictwa lokalnego; rozwoju ogólnodostępnej i niekomercyjnej infrastruktury, w tym m. in. turystycznej, rekreacyjnej oraz promowaniu produktów, usług lokalnych, rynków zbytu produktów i usług lokalnych, turystyki, rekreacji i kultury. Nie przewiduje się oddziaływań skumulowanych i transgranicznych – z oświadczenia wnioskodawcy wynika, że zadania wdrażane za pośrednictwem LGD mogą dotyczyć tylko niewielkich inwestycji. LGD pośredniczy w pozyskiwaniu środków , sama nie realizuje projektów twardych. Działania beneficjentów będą podlegać standardowym procedurom, będą musiały zostać poprzedzone uzyskaniem wymaganych prawem pozwoleń, uzgodnień. Na dalszych etapach inwestycyjnych wszystkie zapisane w LSR przedsięwzięcia będą poddawane odrębnej procedurze oceny oddziaływania na środowisko w celu wykluczenia negatywnego oddziaływania m.in. na zdrowie i życie ludzi – mieszkańców gmin: Łobez, Dobra, resko, radowo Małe, Węgorzyno.</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Mając powyższe na uwadze Zachodniopomorski Państwowy Inspektor Sanitarny w Szczecinie uznał, że dla dokumentu pn. Lokalna Strategia Rozwoju (LSR) opracowanego przez Lokalną Grupę Działania (LGD) Centrum Inicjatyw Wiejskich nie jest konieczne przeprowadzenie strategicznej oceny oddziaływania na środowisko.”</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Przy rozważaniu konieczności przeprowadzenia strategicznej oceny oddziaływania na środowisko powyższy organ brał pod uwagę uwarunkowania wynikające z art. 49 ustawy z dnia 3 października 2008 r. o udostępnianiu informacji o środowisku i jego ochronie, udziale społeczeństwa w ochronie środowiska oraz o ocenach oddziaływania na środowisko (Dz. U. z 2013 r. poz. 1235 z późn. zm.).</w:t>
      </w:r>
    </w:p>
    <w:p>
      <w:pPr>
        <w:pStyle w:val="Normal"/>
        <w:spacing w:lineRule="auto" w:line="276" w:before="0" w:after="200"/>
        <w:jc w:val="both"/>
        <w:rPr>
          <w:rFonts w:ascii="Times New Roman" w:hAnsi="Times New Roman" w:cs="Times New Roman"/>
          <w:sz w:val="24"/>
          <w:szCs w:val="24"/>
        </w:rPr>
      </w:pPr>
      <w:r>
        <w:rPr>
          <w:rFonts w:cs="Times New Roman" w:ascii="Times New Roman" w:hAnsi="Times New Roman"/>
          <w:sz w:val="24"/>
          <w:szCs w:val="24"/>
        </w:rPr>
        <w:t>Na w/w podstawie Zarząd LGD Centrum Inicjatyw Wiejskich uznał, iż na obecnym etapie dla dokumentu LSR można odstąpić od przeprowadzenia strategicznej oceny oddziaływania na środowisko.</w:t>
      </w:r>
    </w:p>
    <w:p>
      <w:pPr>
        <w:pStyle w:val="Normal"/>
        <w:spacing w:lineRule="auto" w:line="240" w:before="6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Wykaz literatury</w:t>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Akapitzlist"/>
        <w:numPr>
          <w:ilvl w:val="0"/>
          <w:numId w:val="24"/>
        </w:numPr>
        <w:spacing w:lineRule="auto" w:line="240" w:before="60" w:after="0"/>
        <w:contextualSpacing/>
        <w:rPr>
          <w:rFonts w:ascii="Times New Roman" w:hAnsi="Times New Roman" w:cs="Times New Roman"/>
          <w:sz w:val="24"/>
          <w:szCs w:val="24"/>
        </w:rPr>
      </w:pPr>
      <w:r>
        <w:rPr>
          <w:rFonts w:cs="Times New Roman" w:ascii="Times New Roman" w:hAnsi="Times New Roman"/>
          <w:sz w:val="24"/>
          <w:szCs w:val="24"/>
        </w:rPr>
        <w:t>Program Rozwoju Obszarów Wiejskich na lata 2014-2020</w:t>
      </w:r>
    </w:p>
    <w:p>
      <w:pPr>
        <w:pStyle w:val="Akapitzlist"/>
        <w:numPr>
          <w:ilvl w:val="0"/>
          <w:numId w:val="24"/>
        </w:numPr>
        <w:spacing w:lineRule="auto" w:line="240" w:before="60" w:after="0"/>
        <w:contextualSpacing/>
        <w:rPr/>
      </w:pPr>
      <w:r>
        <w:rPr>
          <w:rFonts w:cs="Times New Roman" w:ascii="Times New Roman" w:hAnsi="Times New Roman"/>
          <w:sz w:val="24"/>
          <w:szCs w:val="24"/>
        </w:rPr>
        <w:t>Poradnik dla lokalnych grup działania w zakresie opracowania lokalnych strategii rozwoju na lata 2014-2020, wydanie III</w:t>
      </w:r>
    </w:p>
    <w:p>
      <w:pPr>
        <w:pStyle w:val="Akapitzlist"/>
        <w:numPr>
          <w:ilvl w:val="0"/>
          <w:numId w:val="24"/>
        </w:numPr>
        <w:spacing w:lineRule="auto" w:line="240" w:before="60" w:after="0"/>
        <w:contextualSpacing/>
        <w:rPr/>
      </w:pPr>
      <w:r>
        <w:rPr>
          <w:rFonts w:cs="Times New Roman" w:ascii="Times New Roman" w:hAnsi="Times New Roman"/>
          <w:sz w:val="24"/>
          <w:szCs w:val="24"/>
        </w:rPr>
        <w:t>Poradnik dla oceniających projekty innowacyjne i projekty współpracy ponadnarodowej na zlecenie Krajowej Instytucji Wspomagającej z Programu Operacyjnego Kapitał Ludzki, opracowanie z 2011 r., aktualizacja 2012 r.</w:t>
      </w:r>
    </w:p>
    <w:p>
      <w:pPr>
        <w:pStyle w:val="Akapitzlist"/>
        <w:numPr>
          <w:ilvl w:val="0"/>
          <w:numId w:val="24"/>
        </w:numPr>
        <w:spacing w:lineRule="auto" w:line="240" w:before="60" w:after="0"/>
        <w:contextualSpacing/>
        <w:rPr>
          <w:rFonts w:ascii="Times New Roman" w:hAnsi="Times New Roman" w:cs="Times New Roman"/>
          <w:sz w:val="24"/>
          <w:szCs w:val="24"/>
        </w:rPr>
      </w:pPr>
      <w:r>
        <w:rPr>
          <w:rFonts w:cs="Times New Roman" w:ascii="Times New Roman" w:hAnsi="Times New Roman"/>
          <w:sz w:val="24"/>
          <w:szCs w:val="24"/>
        </w:rPr>
        <w:t>Jerzy Kondracki, „Podstawy regionalizacji fizycznogeograficznej”, PWN, 1969 r., Warszawa</w:t>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Załącznik nr 1 do LSR – Procedura aktualizacji LSR</w:t>
      </w:r>
    </w:p>
    <w:p>
      <w:pPr>
        <w:pStyle w:val="Akapitzlist"/>
        <w:numPr>
          <w:ilvl w:val="0"/>
          <w:numId w:val="19"/>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Konieczność wprowadzenia zmian do LSR może wynikać w szczególności z następujących przyczyn:</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zmiany obowiązujących przepisów regulujących zagadnienia objęte LSR; </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zmiany dokumentów programowych lub rozporządzeń dotyczących zagadnień objętych LSR; </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uwag zgłoszonych w protokołach pokontrolnych;</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istotnych zmian w sytuacji społeczno-gospodarczej obszaru LSR;</w:t>
      </w:r>
    </w:p>
    <w:p>
      <w:pPr>
        <w:pStyle w:val="Akapitzlist"/>
        <w:numPr>
          <w:ilvl w:val="0"/>
          <w:numId w:val="37"/>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wniosków wynikających z praktycznego stosowania LSR i przeprowadzonej ewaluacji LSR (ocena skuteczności dotychczasowych działań). </w:t>
      </w:r>
    </w:p>
    <w:p>
      <w:pPr>
        <w:pStyle w:val="Akapitzlist"/>
        <w:numPr>
          <w:ilvl w:val="0"/>
          <w:numId w:val="19"/>
        </w:numPr>
        <w:spacing w:lineRule="auto" w:line="240" w:before="60" w:after="0"/>
        <w:contextualSpacing/>
        <w:jc w:val="both"/>
        <w:rPr>
          <w:rFonts w:ascii="Times New Roman" w:hAnsi="Times New Roman" w:cs="Times New Roman"/>
          <w:strike/>
          <w:sz w:val="24"/>
          <w:szCs w:val="24"/>
        </w:rPr>
      </w:pPr>
      <w:r>
        <w:rPr>
          <w:rFonts w:cs="Times New Roman" w:ascii="Times New Roman" w:hAnsi="Times New Roman"/>
          <w:sz w:val="24"/>
          <w:szCs w:val="24"/>
        </w:rPr>
        <w:t>Aktualizacji i zmian w LSR, oraz jej załącznikach dokonuje Zarząd LGD na mocy upoważnienia WZC, przy jednoczesnym zobowiązaniu do zaprezentowania zmian na najbliższym Walnym Zebraniu Członków,</w:t>
      </w:r>
    </w:p>
    <w:p>
      <w:pPr>
        <w:pStyle w:val="Akapitzlist"/>
        <w:numPr>
          <w:ilvl w:val="0"/>
          <w:numId w:val="19"/>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Zmiany i aktualizacje LSR dokonywane przez Zarząd LGD wymagają upowszechnienia za pośrednictwem Biura informacji o przystąpieniu do procesu aktualizacji strategii poprzez umieszczenie na stronie internetowej LGD proponowanych zmian do treści LSR, rozpoczynając tym samym proces konsultacji społecznych. </w:t>
      </w:r>
    </w:p>
    <w:p>
      <w:pPr>
        <w:pStyle w:val="Akapitzlist"/>
        <w:numPr>
          <w:ilvl w:val="0"/>
          <w:numId w:val="19"/>
        </w:numPr>
        <w:spacing w:lineRule="auto" w:line="240" w:before="6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Zarząd przyjmuje aktualizacje i zmiany w LSR poprzez uchwały przyjęte w drodze głosowania. </w:t>
      </w:r>
    </w:p>
    <w:p>
      <w:pPr>
        <w:pStyle w:val="Akapitzlist"/>
        <w:numPr>
          <w:ilvl w:val="0"/>
          <w:numId w:val="12"/>
        </w:numPr>
        <w:spacing w:lineRule="auto" w:line="240" w:before="60" w:after="0"/>
        <w:contextualSpacing/>
        <w:jc w:val="both"/>
        <w:rPr/>
      </w:pPr>
      <w:r>
        <w:rPr>
          <w:rFonts w:cs="Times New Roman" w:ascii="Times New Roman" w:hAnsi="Times New Roman"/>
          <w:sz w:val="24"/>
          <w:szCs w:val="24"/>
        </w:rPr>
        <w:t>Wprowadzenie zmian w LSR wymaga każdorazowo</w:t>
      </w:r>
      <w:r>
        <w:rPr>
          <w:rFonts w:cs="Times New Roman" w:ascii="Times New Roman" w:hAnsi="Times New Roman"/>
          <w:color w:val="000000"/>
          <w:sz w:val="24"/>
          <w:szCs w:val="24"/>
        </w:rPr>
        <w:t xml:space="preserve"> zatwierdzenia przez samorząd województwa.</w:t>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Default"/>
        <w:rPr>
          <w:rFonts w:ascii="Times New Roman" w:hAnsi="Times New Roman" w:cs="Times New Roman"/>
          <w:b/>
          <w:b/>
          <w:bCs/>
          <w:sz w:val="28"/>
          <w:szCs w:val="28"/>
        </w:rPr>
      </w:pPr>
      <w:r>
        <w:rPr>
          <w:rFonts w:cs="Times New Roman"/>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b/>
          <w:b/>
          <w:bCs/>
          <w:sz w:val="28"/>
          <w:szCs w:val="28"/>
        </w:rPr>
      </w:pPr>
      <w:r>
        <w:rPr>
          <w:b/>
          <w:bCs/>
          <w:sz w:val="28"/>
          <w:szCs w:val="28"/>
        </w:rPr>
      </w:r>
    </w:p>
    <w:p>
      <w:pPr>
        <w:pStyle w:val="Default"/>
        <w:rPr/>
      </w:pPr>
      <w:r>
        <w:rPr>
          <w:b/>
          <w:bCs/>
          <w:sz w:val="28"/>
          <w:szCs w:val="28"/>
        </w:rPr>
        <w:t xml:space="preserve">Załącznik nr 2 do LSR - Procedury dokonywania monitoringu i ewaluacji </w:t>
      </w:r>
    </w:p>
    <w:p>
      <w:pPr>
        <w:pStyle w:val="Default"/>
        <w:rPr>
          <w:b/>
          <w:b/>
          <w:bCs/>
          <w:sz w:val="23"/>
          <w:szCs w:val="23"/>
        </w:rPr>
      </w:pPr>
      <w:r>
        <w:rPr>
          <w:b/>
          <w:bCs/>
          <w:sz w:val="23"/>
          <w:szCs w:val="23"/>
        </w:rPr>
      </w:r>
    </w:p>
    <w:p>
      <w:pPr>
        <w:pStyle w:val="Normal"/>
        <w:spacing w:lineRule="auto" w:line="240" w:before="60" w:after="0"/>
        <w:jc w:val="both"/>
        <w:rPr/>
      </w:pPr>
      <w:r>
        <w:rPr>
          <w:rFonts w:cs="Times New Roman" w:ascii="Times New Roman" w:hAnsi="Times New Roman"/>
          <w:sz w:val="24"/>
          <w:szCs w:val="24"/>
        </w:rPr>
        <w:t xml:space="preserve">Realizacja LSR będzie podlegać stałemu monitoringowi oraz procesowi ewaluacji, które pozwolą na szybką reakcję w przypadku zaistnienia problemów lub zagrożeń na każdym etapie wdrażania. </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Źródłem danych do monitoringu i ewaluacji będą informacje zbierane przez LGD w ramach naborów (rejestry, karty doradztwa, informacje od trenerów i prowadzących spotkania informacyjne), w ramach oceny wniosków (informacje przekazywane przez wnioskodawców, dodatkowo wywiady w wnioskodawcami w ramach kontaktów z biurem LGD), rozliczania środków (dane własne, dane przekazywane przez podmioty zewnętrzne takie jak Samorząd Województwa, Agencja Płatnicza), dane z ankiet dedykowanych procesowi monitoringu i ewaluacji, opracowywanych przez LGD jak i podmioty prowadzące ewaluację oraz dodatkowe dane zbierane w ramach działań kontrolnych (wizje lokalne, raporty końcowe przedstawiane przez grantobiorców) i funkcjonowania LGD (opinie członków Rady, Zarządu, Komisji Rewizyjnej).</w:t>
      </w:r>
    </w:p>
    <w:p>
      <w:pPr>
        <w:pStyle w:val="Default"/>
        <w:rPr>
          <w:sz w:val="23"/>
          <w:szCs w:val="23"/>
        </w:rPr>
      </w:pPr>
      <w:r>
        <w:rPr>
          <w:rFonts w:eastAsia="Times New Roman"/>
          <w:b/>
          <w:bCs/>
          <w:sz w:val="23"/>
          <w:szCs w:val="23"/>
        </w:rPr>
        <w:t xml:space="preserve"> </w:t>
      </w:r>
    </w:p>
    <w:p>
      <w:pPr>
        <w:pStyle w:val="Default"/>
        <w:spacing w:before="60" w:after="0"/>
        <w:jc w:val="both"/>
        <w:rPr>
          <w:sz w:val="14"/>
          <w:szCs w:val="14"/>
        </w:rPr>
      </w:pPr>
      <w:r>
        <w:rPr>
          <w:b/>
          <w:bCs/>
          <w:sz w:val="22"/>
          <w:szCs w:val="22"/>
        </w:rPr>
        <w:t xml:space="preserve">MONITORING LSR </w:t>
      </w:r>
      <w:r>
        <w:rPr/>
        <w:t>jest procesem systematycznego i ciągłego zbierania oraz analizowania informacji na temat funkcjonowania LGD oraz stanu realizacji LSR w aspektach rzeczowym i finansowym. Monitoring finansowy polega na śledzeniu wydatkowania środków, natomiast rzeczowy obejmuje analizę stopnia osiągania mierzalnych i weryfikowalnych wskaźników wykonalności celów strategii. Proces ten służy dostarczaniu informacji dla celów kontroli zarządzania i podejmowania decyzji w sprawie realizacji i aktualizacji strategii. Monitoring pokazuje wszystkim wiarygodne, rzetelne informacje o stanie zaawansowania prac, postępach, uchybieniach zmianach, czy też zaniechaniach wraz z przyczynami i uzasadnieniem takiego stanu rzeczy.</w:t>
      </w:r>
    </w:p>
    <w:p>
      <w:pPr>
        <w:pStyle w:val="Default"/>
        <w:rPr>
          <w:sz w:val="14"/>
          <w:szCs w:val="14"/>
        </w:rPr>
      </w:pPr>
      <w:r>
        <w:rPr>
          <w:sz w:val="14"/>
          <w:szCs w:val="14"/>
        </w:rPr>
      </w:r>
    </w:p>
    <w:p>
      <w:pPr>
        <w:pStyle w:val="Normal"/>
        <w:spacing w:lineRule="auto" w:line="240" w:before="60" w:after="0"/>
        <w:jc w:val="both"/>
        <w:rPr/>
      </w:pPr>
      <w:r>
        <w:rPr>
          <w:rFonts w:cs="Times New Roman" w:ascii="Times New Roman" w:hAnsi="Times New Roman"/>
          <w:b/>
          <w:sz w:val="24"/>
          <w:szCs w:val="24"/>
        </w:rPr>
        <w:t>Działania monitorujące</w:t>
      </w:r>
      <w:r>
        <w:rPr>
          <w:rFonts w:cs="Times New Roman" w:ascii="Times New Roman" w:hAnsi="Times New Roman"/>
          <w:sz w:val="24"/>
          <w:szCs w:val="24"/>
        </w:rPr>
        <w:t xml:space="preserve"> będą prowadzone w ramach prowadzenia czynności zaplanowanych przez LGD w planie działania i planie komunikacji: związane z ogłoszeniem naborów wniosków, promocją i komunikacją z mieszkańcami obszaru LSR oraz samym funkcjonowaniem LGD. Ocenie będą również podlegać poziomy realizacji budżetu i wskaźników oraz poziom aktywizacji mieszkańców jako wnioskodawców w ramach naborów. </w:t>
      </w:r>
    </w:p>
    <w:p>
      <w:pPr>
        <w:pStyle w:val="Normal"/>
        <w:spacing w:lineRule="auto" w:line="240" w:before="60" w:after="0"/>
        <w:jc w:val="both"/>
        <w:rPr/>
      </w:pPr>
      <w:r>
        <w:rPr>
          <w:rFonts w:cs="Times New Roman" w:ascii="Times New Roman" w:hAnsi="Times New Roman"/>
          <w:sz w:val="24"/>
          <w:szCs w:val="24"/>
        </w:rPr>
        <w:t>Proces monitoringu rozpocznie się od pierwszego dnia realizacji umowy o warunkach i sposobie realizacji LSR aż po dzień jego oficjalnego zakończenia i będzie opierał się na:</w:t>
      </w:r>
    </w:p>
    <w:p>
      <w:pPr>
        <w:pStyle w:val="Normal"/>
        <w:spacing w:lineRule="auto" w:line="240" w:before="60" w:after="0"/>
        <w:jc w:val="both"/>
        <w:rPr/>
      </w:pPr>
      <w:r>
        <w:rPr>
          <w:rFonts w:cs="Times New Roman" w:ascii="Times New Roman" w:hAnsi="Times New Roman"/>
          <w:sz w:val="24"/>
          <w:szCs w:val="24"/>
        </w:rPr>
        <w:t>1. cyklicznych, kwartalnych pomiarach wyników prowadzonych przez biuro LGD (najpóźniej w ciągu miesiąca od zakończenia kwartału). Wyniki będą otrzymywać członkowie Zarządu, zaś zestawienia roczne (ponownie, w ciągu miesiąca od zakończenia okresu rozliczeniowego, najpóźniej 31 stycznia każdego roku) będą przekazywane: Zarządowi, Radzie, Walnemu Zgromadzeniu Członków oraz przesyłane do Samorządu Województwa do ostatniego dnia lutego każdego roku.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2. pomiarach i prognozach poziomu osiągnięcia wskaźników w ramach poszczególnych przedsięwzięć i celów oraz wykorzystania środków w ramach poszczególnych pozycji w budżecie LSR. Pomiary i prognozy będą przedstawiane Radzie przed posiedzeniami dotyczącymi wyboru operacji w ramach każdego naboru.</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W proces monitoringu będzie włączona także Komisja Rewizyjna, która również będzie otrzymywać dane z pomiarów kwartalnych i zestawienia roczne.</w:t>
      </w:r>
    </w:p>
    <w:p>
      <w:pPr>
        <w:pStyle w:val="Normal"/>
        <w:spacing w:lineRule="auto" w:line="240" w:before="60" w:after="0"/>
        <w:jc w:val="both"/>
        <w:rPr>
          <w:rFonts w:ascii="Times New Roman" w:hAnsi="Times New Roman" w:cs="Times New Roman"/>
          <w:sz w:val="24"/>
          <w:szCs w:val="24"/>
        </w:rPr>
      </w:pPr>
      <w:r>
        <w:rPr>
          <w:rFonts w:cs="Times New Roman" w:ascii="Times New Roman" w:hAnsi="Times New Roman"/>
          <w:sz w:val="24"/>
          <w:szCs w:val="24"/>
        </w:rPr>
        <w:t xml:space="preserve">Monitoring będzie miał na celu umożliwienie szybkiej reakcji w przypadku pojawienia się trudności lub stwierdzenia ryzyka w realizacji założeń LSR, a w skali długoterminowej, zwiększenie efektywności całego  procesu realizacji LSR. Dzięki przyjęciu zasady cyklicznych pomiarów, możliwe będzie nie tylko śledzenie procesu wdrażania, ale również opracowanie prognoz w oparciu o pojawiające się trendy. W przypadku pojawienia się sytuacji problemowych lub stwierdzenia zagrożenia dla realizacji celów LSR, współpracę podejmą Biuro LGD, Zarząd oraz Komisja Rewizyjna. Opracowane zostaną  propozycje zmian i działań naprawczych, w tym zmian w formie działania i rodzaju wykorzystywanych narzędzi komunikacyjnych. </w:t>
      </w:r>
    </w:p>
    <w:p>
      <w:pPr>
        <w:pStyle w:val="Default"/>
        <w:rPr>
          <w:rFonts w:ascii="Times New Roman" w:hAnsi="Times New Roman" w:cs="Times New Roman"/>
          <w:sz w:val="22"/>
          <w:szCs w:val="22"/>
        </w:rPr>
      </w:pPr>
      <w:r>
        <w:rPr>
          <w:rFonts w:cs="Times New Roman"/>
          <w:sz w:val="22"/>
          <w:szCs w:val="22"/>
        </w:rPr>
      </w:r>
    </w:p>
    <w:p>
      <w:pPr>
        <w:pStyle w:val="Default"/>
        <w:spacing w:before="60" w:after="0"/>
        <w:jc w:val="both"/>
        <w:rPr/>
      </w:pPr>
      <w:r>
        <w:rPr>
          <w:b/>
          <w:bCs/>
        </w:rPr>
        <w:t xml:space="preserve">EWALUACJA LSR </w:t>
      </w:r>
      <w:r>
        <w:rPr/>
        <w:t xml:space="preserve">jest systematycznym badaniem wartości i cech jej wdrażania w celu uzyskania odpowiedzi na pytanie główne, tj. czy zostały osiągnięte zamierzone cele oraz na ustalenie związków pomiędzy podjętymi działaniami, a uzyskanymi efektami, zwłaszcza </w:t>
        <w:br/>
        <w:t xml:space="preserve">w ujęciu średnio i długookresowymi. Komisja Europejska stosuje i rekomenduje w procesie ewaluacji następujące kryteria: </w:t>
      </w:r>
    </w:p>
    <w:p>
      <w:pPr>
        <w:pStyle w:val="Default"/>
        <w:numPr>
          <w:ilvl w:val="0"/>
          <w:numId w:val="16"/>
        </w:numPr>
        <w:spacing w:before="60" w:after="0"/>
        <w:jc w:val="both"/>
        <w:rPr/>
      </w:pPr>
      <w:r>
        <w:rPr/>
        <w:t xml:space="preserve">trafność/adekwatność/odpowiedniość, </w:t>
      </w:r>
    </w:p>
    <w:p>
      <w:pPr>
        <w:pStyle w:val="Default"/>
        <w:numPr>
          <w:ilvl w:val="0"/>
          <w:numId w:val="16"/>
        </w:numPr>
        <w:spacing w:before="60" w:after="0"/>
        <w:jc w:val="both"/>
        <w:rPr/>
      </w:pPr>
      <w:r>
        <w:rPr/>
        <w:t xml:space="preserve">efektywność/ wydajność, </w:t>
      </w:r>
    </w:p>
    <w:p>
      <w:pPr>
        <w:pStyle w:val="Default"/>
        <w:numPr>
          <w:ilvl w:val="0"/>
          <w:numId w:val="16"/>
        </w:numPr>
        <w:spacing w:before="60" w:after="0"/>
        <w:jc w:val="both"/>
        <w:rPr/>
      </w:pPr>
      <w:r>
        <w:rPr/>
        <w:t xml:space="preserve">skuteczność, </w:t>
      </w:r>
    </w:p>
    <w:p>
      <w:pPr>
        <w:pStyle w:val="Default"/>
        <w:numPr>
          <w:ilvl w:val="0"/>
          <w:numId w:val="16"/>
        </w:numPr>
        <w:spacing w:before="60" w:after="0"/>
        <w:jc w:val="both"/>
        <w:rPr/>
      </w:pPr>
      <w:r>
        <w:rPr/>
        <w:t xml:space="preserve">użyteczność i trwałość. </w:t>
      </w:r>
    </w:p>
    <w:p>
      <w:pPr>
        <w:pStyle w:val="Default"/>
        <w:spacing w:before="60" w:after="0"/>
        <w:ind w:left="720" w:hanging="0"/>
        <w:jc w:val="both"/>
        <w:rPr/>
      </w:pPr>
      <w:r>
        <w:rPr/>
      </w:r>
    </w:p>
    <w:p>
      <w:pPr>
        <w:pStyle w:val="Normal"/>
        <w:spacing w:lineRule="auto" w:line="240" w:before="60" w:after="0"/>
        <w:jc w:val="both"/>
        <w:rPr/>
      </w:pPr>
      <w:r>
        <w:rPr>
          <w:rFonts w:cs="Times New Roman" w:ascii="Times New Roman" w:hAnsi="Times New Roman"/>
          <w:b/>
          <w:sz w:val="24"/>
          <w:szCs w:val="24"/>
        </w:rPr>
        <w:t>Działania ewaluacyjne</w:t>
      </w:r>
      <w:r>
        <w:rPr>
          <w:rFonts w:cs="Times New Roman" w:ascii="Times New Roman" w:hAnsi="Times New Roman"/>
          <w:sz w:val="24"/>
          <w:szCs w:val="24"/>
        </w:rPr>
        <w:t xml:space="preserve"> pozwolą na głębszą analizę efektywności i stopnia realizacji przyjętych w LSR założeń, m.in. uzyskanej wartości dodanej, trwałości i jakości rezultatów oraz ocenę jakości usług świadczonych przez LGD.</w:t>
      </w:r>
    </w:p>
    <w:p>
      <w:pPr>
        <w:pStyle w:val="Default"/>
        <w:spacing w:before="60" w:after="0"/>
        <w:jc w:val="both"/>
        <w:rPr>
          <w:rFonts w:ascii="Times New Roman" w:hAnsi="Times New Roman" w:cs="Times New Roman"/>
          <w:sz w:val="24"/>
          <w:szCs w:val="24"/>
        </w:rPr>
      </w:pPr>
      <w:r>
        <w:rPr>
          <w:rFonts w:cs="Times New Roman"/>
          <w:sz w:val="24"/>
          <w:szCs w:val="24"/>
        </w:rPr>
      </w:r>
    </w:p>
    <w:p>
      <w:pPr>
        <w:pStyle w:val="Default"/>
        <w:spacing w:before="60" w:after="0"/>
        <w:jc w:val="both"/>
        <w:rPr/>
      </w:pPr>
      <w:r>
        <w:rPr/>
        <w:t xml:space="preserve">LGD planuje przeprowadzać corocznie </w:t>
      </w:r>
      <w:r>
        <w:rPr>
          <w:b/>
          <w:bCs/>
        </w:rPr>
        <w:t xml:space="preserve">ewaluacje wewnętrzne </w:t>
      </w:r>
      <w:r>
        <w:rPr/>
        <w:t xml:space="preserve">(bieżące, dokona ich samodzielnie) oraz </w:t>
      </w:r>
      <w:r>
        <w:rPr>
          <w:b/>
          <w:bCs/>
        </w:rPr>
        <w:t xml:space="preserve">ewaluację zewnętrzną </w:t>
      </w:r>
      <w:r>
        <w:rPr/>
        <w:t xml:space="preserve">(zostanie zlecona zewnętrznym ewaluatorom). </w:t>
      </w:r>
    </w:p>
    <w:p>
      <w:pPr>
        <w:pStyle w:val="Default"/>
        <w:spacing w:before="60" w:after="0"/>
        <w:jc w:val="both"/>
        <w:rPr/>
      </w:pPr>
      <w:r>
        <w:rPr/>
      </w:r>
    </w:p>
    <w:p>
      <w:pPr>
        <w:pStyle w:val="Default"/>
        <w:spacing w:before="60" w:after="0"/>
        <w:jc w:val="both"/>
        <w:rPr/>
      </w:pPr>
      <w:r>
        <w:rPr>
          <w:b/>
        </w:rPr>
        <w:t>Ewaluacja</w:t>
      </w:r>
      <w:r>
        <w:rPr/>
        <w:t xml:space="preserve"> </w:t>
      </w:r>
      <w:r>
        <w:rPr>
          <w:b/>
          <w:bCs/>
        </w:rPr>
        <w:t xml:space="preserve">wewnętrzna </w:t>
      </w:r>
      <w:r>
        <w:rPr/>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br/>
        <w:t xml:space="preserve">w oparciu o </w:t>
      </w:r>
      <w:r>
        <w:rPr>
          <w:b/>
          <w:bCs/>
        </w:rPr>
        <w:t xml:space="preserve">warsztat refleksyjny </w:t>
      </w:r>
      <w:r>
        <w:rPr/>
        <w:t xml:space="preserve">z udziałem pracowników Biura LGD, członków Zarządu </w:t>
        <w:br/>
        <w:t xml:space="preserve">i Rady LGD. Do udziału w warsztatach mogą zostać zaproszeni także przedstawiciele beneficjantów, samorządu województwa lub innych LGD. </w:t>
      </w:r>
    </w:p>
    <w:p>
      <w:pPr>
        <w:pStyle w:val="Default"/>
        <w:spacing w:before="60" w:after="0"/>
        <w:jc w:val="both"/>
        <w:rPr/>
      </w:pPr>
      <w:r>
        <w:rPr/>
        <w:t xml:space="preserve">Podstawowym materiałem do pracy warsztatowej będą zestawienia i materiały z procesu realizacji LSR przygotowywane co roku przez pracowników LGD. Materiały te będą stanowić: </w:t>
      </w:r>
    </w:p>
    <w:p>
      <w:pPr>
        <w:pStyle w:val="Default"/>
        <w:numPr>
          <w:ilvl w:val="0"/>
          <w:numId w:val="13"/>
        </w:numPr>
        <w:spacing w:before="60" w:after="0"/>
        <w:jc w:val="both"/>
        <w:rPr/>
      </w:pPr>
      <w:r>
        <w:rPr/>
        <w:t xml:space="preserve">zebrane przez Biuro LGD informacje zwrotne o odbiorze realizacji LSR i działań LGD, poprzez np.: dokumentowanie spotkań z mieszkańcami, wnioskodawcami (w biurze LGD i poza nim) pod kątem zgłaszanych uwag, problemów, potrzeb itp., zebrane opinie społeczności lokalnej o odbiorze realizacji LSR poprzez np. przeprowadzone wywiady, ankiety, sondaże lub inne narzędzia do zbierania opinii od kluczowych interesariuszy (gminy) i przedstawicieli społeczności lokalnej. </w:t>
      </w:r>
    </w:p>
    <w:p>
      <w:pPr>
        <w:pStyle w:val="Default"/>
        <w:numPr>
          <w:ilvl w:val="0"/>
          <w:numId w:val="13"/>
        </w:numPr>
        <w:spacing w:before="60" w:after="0"/>
        <w:jc w:val="both"/>
        <w:rPr/>
      </w:pPr>
      <w:r>
        <w:rPr/>
        <w:t xml:space="preserve">przygotowane przez Biuro LGD zestawienie dostępnych danych za miniony rok kalendarzowy dotyczące co najmniej: realizacji finansowej LSR i rzeczowej (osiągnięte wartości wskaźników), funkcjonowania LGD i Biura (m.in. działań informacyjno-promocyjnych, działań doradczych, funkcjonowania partnerstwa </w:t>
        <w:br/>
        <w:t xml:space="preserve">i organów LGD), sytuacji społeczno-gospodarczej obszaru LGD w oparciu o dostępne dane statystyczne, dostępne aktualne opracowania. </w:t>
      </w:r>
    </w:p>
    <w:p>
      <w:pPr>
        <w:pStyle w:val="Default"/>
        <w:spacing w:before="60" w:after="0"/>
        <w:jc w:val="both"/>
        <w:rPr/>
      </w:pPr>
      <w:r>
        <w:rPr/>
      </w:r>
    </w:p>
    <w:p>
      <w:pPr>
        <w:pStyle w:val="Default"/>
        <w:spacing w:before="60" w:after="0"/>
        <w:jc w:val="both"/>
        <w:rPr/>
      </w:pPr>
      <w:r>
        <w:rPr/>
        <w:t xml:space="preserve">Warsztaty o których mowa powyżej (na temat realizacji LSR i o działaniach LGD </w:t>
        <w:br/>
        <w:t xml:space="preserve">w minionym roku) organizuje Biuro LGD. Trwają one co najmniej 5 godzin. </w:t>
      </w:r>
    </w:p>
    <w:p>
      <w:pPr>
        <w:pStyle w:val="Default"/>
        <w:spacing w:before="60" w:after="0"/>
        <w:jc w:val="both"/>
        <w:rPr/>
      </w:pPr>
      <w:r>
        <w:rPr/>
        <w:t xml:space="preserve">Dyskusja podczas warsztatów powinna być zorganizowana zgodnie z wytycznymi Ministerstwa Rolnictwa i Rozwoju Wsi, tj. co najmniej wokół poniższych pytań: </w:t>
      </w:r>
    </w:p>
    <w:p>
      <w:pPr>
        <w:pStyle w:val="Default"/>
        <w:numPr>
          <w:ilvl w:val="0"/>
          <w:numId w:val="25"/>
        </w:numPr>
        <w:spacing w:before="60" w:after="0"/>
        <w:jc w:val="both"/>
        <w:rPr/>
      </w:pPr>
      <w:r>
        <w:rPr/>
        <w:t xml:space="preserve">Czy realizacja finansowa i rzeczowa LSR przebiegała zgodnie z planem i można ją uznać za zadowalającą? </w:t>
      </w:r>
    </w:p>
    <w:p>
      <w:pPr>
        <w:pStyle w:val="Default"/>
        <w:numPr>
          <w:ilvl w:val="0"/>
          <w:numId w:val="25"/>
        </w:numPr>
        <w:spacing w:before="60" w:after="0"/>
        <w:jc w:val="both"/>
        <w:rPr>
          <w:color w:val="000000"/>
        </w:rPr>
      </w:pPr>
      <w:r>
        <w:rPr>
          <w:color w:val="000000"/>
        </w:rPr>
        <w:t xml:space="preserve">W jakim stopniu jakość składanych projektów wybieranych we wszystkich obszarach tematycznych wpływa na osiąganie wskaźników w zaplanowanych czasie? </w:t>
      </w:r>
    </w:p>
    <w:p>
      <w:pPr>
        <w:pStyle w:val="Default"/>
        <w:numPr>
          <w:ilvl w:val="0"/>
          <w:numId w:val="25"/>
        </w:numPr>
        <w:spacing w:before="60" w:after="0"/>
        <w:jc w:val="both"/>
        <w:rPr>
          <w:color w:val="000000"/>
        </w:rPr>
      </w:pPr>
      <w:r>
        <w:rPr>
          <w:color w:val="000000"/>
        </w:rPr>
        <w:t xml:space="preserve">W jakim stopniu stosowane kryteria wyboru projektów spełniają swoją rolę? </w:t>
      </w:r>
    </w:p>
    <w:p>
      <w:pPr>
        <w:pStyle w:val="Default"/>
        <w:numPr>
          <w:ilvl w:val="0"/>
          <w:numId w:val="25"/>
        </w:numPr>
        <w:spacing w:before="60" w:after="0"/>
        <w:jc w:val="both"/>
        <w:rPr>
          <w:color w:val="000000"/>
        </w:rPr>
      </w:pPr>
      <w:r>
        <w:rPr>
          <w:color w:val="000000"/>
        </w:rPr>
        <w:t xml:space="preserve">W jakim stopniu wybierane projekty realizowane w ramach LSR przyczyniają się do osiągnięcia celów LSR i w jakim stopniu przyczyniają się do odpowiadania na potrzeby społeczności z obszaru LGD? </w:t>
      </w:r>
    </w:p>
    <w:p>
      <w:pPr>
        <w:pStyle w:val="Default"/>
        <w:numPr>
          <w:ilvl w:val="0"/>
          <w:numId w:val="25"/>
        </w:numPr>
        <w:spacing w:before="60" w:after="0"/>
        <w:jc w:val="both"/>
        <w:rPr/>
      </w:pPr>
      <w:r>
        <w:rPr>
          <w:color w:val="000000"/>
        </w:rPr>
        <w:t xml:space="preserve">Czy przyjęty system wskaźników dostarcza wszystkie potrzebne informacje niezbędne do określenia skuteczności interwencyjnej strategii? </w:t>
      </w:r>
    </w:p>
    <w:p>
      <w:pPr>
        <w:pStyle w:val="Default"/>
        <w:numPr>
          <w:ilvl w:val="0"/>
          <w:numId w:val="25"/>
        </w:numPr>
        <w:spacing w:before="60" w:after="0"/>
        <w:jc w:val="both"/>
        <w:rPr>
          <w:color w:val="000000"/>
        </w:rPr>
      </w:pPr>
      <w:r>
        <w:rPr>
          <w:color w:val="000000"/>
        </w:rPr>
        <w:t xml:space="preserve">Czy procedury naboru wyboru i realizacji projektów są przyjazne dla beneficjentów? </w:t>
      </w:r>
    </w:p>
    <w:p>
      <w:pPr>
        <w:pStyle w:val="Default"/>
        <w:numPr>
          <w:ilvl w:val="0"/>
          <w:numId w:val="25"/>
        </w:numPr>
        <w:spacing w:before="60" w:after="0"/>
        <w:jc w:val="both"/>
        <w:rPr/>
      </w:pPr>
      <w:r>
        <w:rPr>
          <w:color w:val="000000"/>
        </w:rPr>
        <w:t xml:space="preserve">Jaka jest skuteczność działania biura LGD (działań animacyjnych, informacyjno-promocyjnych, doradczych)? </w:t>
      </w:r>
    </w:p>
    <w:p>
      <w:pPr>
        <w:pStyle w:val="Default"/>
        <w:numPr>
          <w:ilvl w:val="0"/>
          <w:numId w:val="25"/>
        </w:numPr>
        <w:spacing w:before="60" w:after="0"/>
        <w:jc w:val="both"/>
        <w:rPr>
          <w:color w:val="000000"/>
        </w:rPr>
      </w:pPr>
      <w:r>
        <w:rPr>
          <w:color w:val="000000"/>
        </w:rPr>
        <w:t xml:space="preserve">Jakie zmiany należy wprowadzić w działaniach LGD, by skuteczniej realizowała cele LSR? </w:t>
      </w:r>
    </w:p>
    <w:p>
      <w:pPr>
        <w:pStyle w:val="Default"/>
        <w:spacing w:before="60" w:after="0"/>
        <w:jc w:val="both"/>
        <w:rPr>
          <w:color w:val="000000"/>
        </w:rPr>
      </w:pPr>
      <w:r>
        <w:rPr>
          <w:color w:val="000000"/>
        </w:rPr>
        <w:t xml:space="preserve">Warsztaty zakończą się podsumowaniem, w którym zostaną zebrane ustalenia dotyczące koniecznych działań do wdrożenia w kolejnym roku. </w:t>
      </w:r>
    </w:p>
    <w:p>
      <w:pPr>
        <w:pStyle w:val="Default"/>
        <w:spacing w:before="60" w:after="0"/>
        <w:jc w:val="both"/>
        <w:rPr/>
      </w:pPr>
      <w:r>
        <w:rPr>
          <w:color w:val="000000"/>
        </w:rPr>
        <w:t xml:space="preserve">Prezentowane dane i ustalenia poczynione w ramach warsztatu będą gromadzone </w:t>
        <w:br/>
        <w:t xml:space="preserve">w uporządkowany sposób i porównywalny z roku na rok, tak by mogły stanowić użyteczny wkład w analizę prowadzoną przez ewaluatorów zewnętrznych po zakończeniu realizacji LSR (ewaluacja zewnętrzna). </w:t>
      </w:r>
    </w:p>
    <w:p>
      <w:pPr>
        <w:pStyle w:val="Default"/>
        <w:spacing w:before="60" w:after="0"/>
        <w:jc w:val="both"/>
        <w:rPr>
          <w:color w:val="000000"/>
        </w:rPr>
      </w:pPr>
      <w:r>
        <w:rPr>
          <w:color w:val="000000"/>
        </w:rPr>
        <w:t xml:space="preserve">Podsumowanie warsztatu w postaci syntetycznych odpowiedzi na poruszane zagadnienia oraz informacji na temat sposobu wdrożenia rekomendacji, będzie elementem sprawozdania rocznego. </w:t>
      </w:r>
    </w:p>
    <w:p>
      <w:pPr>
        <w:pStyle w:val="Default"/>
        <w:spacing w:before="60" w:after="0"/>
        <w:jc w:val="both"/>
        <w:rPr>
          <w:color w:val="000000"/>
        </w:rPr>
      </w:pPr>
      <w:r>
        <w:rPr>
          <w:color w:val="000000"/>
        </w:rPr>
      </w:r>
    </w:p>
    <w:p>
      <w:pPr>
        <w:pStyle w:val="Default"/>
        <w:spacing w:before="60" w:after="0"/>
        <w:jc w:val="both"/>
        <w:rPr>
          <w:color w:val="000000"/>
        </w:rPr>
      </w:pPr>
      <w:r>
        <w:rPr>
          <w:b/>
          <w:color w:val="000000"/>
        </w:rPr>
        <w:t xml:space="preserve">Ewaluacja </w:t>
      </w:r>
      <w:r>
        <w:rPr>
          <w:b/>
          <w:bCs/>
          <w:color w:val="000000"/>
        </w:rPr>
        <w:t xml:space="preserve">zewnętrza </w:t>
      </w:r>
      <w:r>
        <w:rPr>
          <w:color w:val="000000"/>
        </w:rPr>
        <w:t xml:space="preserve">zostanie przeprowadzona jednokrotnie w latach </w:t>
      </w:r>
      <w:r>
        <w:rPr/>
        <w:t xml:space="preserve">2020 </w:t>
      </w:r>
      <w:r>
        <w:rPr>
          <w:color w:val="000000"/>
        </w:rPr>
        <w:t xml:space="preserve">– 2023 przez niezależnego ewaluatora – zewnętrznego wykonawcę. Wymagania jakie musi spełniać wykonawca ewaluacji zewnętrznej na etapie wyboru wykonawcy są określone w wytycznych Ministerstwa Rolnictwa i Rozwoju Wsi. Wytyczne te określają także zakres ewaluacji zewnętrznej, wymaganą strukturę raportu końcowego oraz sposób rozpowszechnienia informacji o wynikach ewaluacji zewnętrznej LSR. </w:t>
      </w:r>
    </w:p>
    <w:p>
      <w:pPr>
        <w:pStyle w:val="Default"/>
        <w:spacing w:before="60" w:after="0"/>
        <w:jc w:val="both"/>
        <w:rPr>
          <w:color w:val="000000"/>
        </w:rPr>
      </w:pPr>
      <w:r>
        <w:rPr>
          <w:color w:val="000000"/>
        </w:rPr>
      </w:r>
    </w:p>
    <w:p>
      <w:pPr>
        <w:pStyle w:val="Default"/>
        <w:spacing w:before="60" w:after="0"/>
        <w:jc w:val="both"/>
        <w:rPr>
          <w:color w:val="000000"/>
        </w:rPr>
      </w:pPr>
      <w:r>
        <w:rPr>
          <w:color w:val="000000"/>
        </w:rPr>
      </w:r>
    </w:p>
    <w:p>
      <w:pPr>
        <w:pStyle w:val="Default"/>
        <w:spacing w:before="60" w:after="0"/>
        <w:jc w:val="both"/>
        <w:rPr>
          <w:b/>
          <w:b/>
          <w:bCs/>
          <w:color w:val="000000"/>
        </w:rPr>
      </w:pPr>
      <w:r>
        <w:rPr>
          <w:b/>
          <w:bCs/>
          <w:color w:val="000000"/>
        </w:rPr>
        <w:t xml:space="preserve">Cel badania: Głównym celem ewaluacji jest ocena wpływu działalności LGD i realizacji LSR na funkcjonowanie i rozwój społeczności lokalnej. </w:t>
      </w:r>
    </w:p>
    <w:p>
      <w:pPr>
        <w:pStyle w:val="Default"/>
        <w:spacing w:before="60" w:after="0"/>
        <w:jc w:val="both"/>
        <w:rPr>
          <w:b/>
          <w:b/>
          <w:bCs/>
          <w:color w:val="000000"/>
        </w:rPr>
      </w:pPr>
      <w:r>
        <w:rPr>
          <w:b/>
          <w:bCs/>
          <w:color w:val="000000"/>
        </w:rPr>
      </w:r>
    </w:p>
    <w:p>
      <w:pPr>
        <w:pStyle w:val="Default"/>
        <w:spacing w:before="60" w:after="0"/>
        <w:jc w:val="both"/>
        <w:rPr>
          <w:b/>
          <w:b/>
          <w:bCs/>
          <w:color w:val="000000"/>
          <w:u w:val="single"/>
        </w:rPr>
      </w:pPr>
      <w:r>
        <w:rPr>
          <w:b/>
          <w:bCs/>
          <w:color w:val="000000"/>
          <w:u w:val="single"/>
        </w:rPr>
        <w:t>Zakres przedmiotowy badania:</w:t>
      </w:r>
    </w:p>
    <w:p>
      <w:pPr>
        <w:pStyle w:val="Default"/>
        <w:spacing w:before="60" w:after="0"/>
        <w:jc w:val="both"/>
        <w:rPr>
          <w:b/>
          <w:b/>
          <w:bCs/>
          <w:color w:val="000000"/>
          <w:u w:val="single"/>
        </w:rPr>
      </w:pPr>
      <w:r>
        <w:rPr>
          <w:b/>
          <w:bCs/>
          <w:color w:val="000000"/>
          <w:u w:val="single"/>
        </w:rPr>
      </w:r>
    </w:p>
    <w:tbl>
      <w:tblPr>
        <w:tblW w:w="8853" w:type="dxa"/>
        <w:jc w:val="center"/>
        <w:tblInd w:w="0" w:type="dxa"/>
        <w:tblLayout w:type="fixed"/>
        <w:tblCellMar>
          <w:top w:w="0" w:type="dxa"/>
          <w:left w:w="108" w:type="dxa"/>
          <w:bottom w:w="0" w:type="dxa"/>
          <w:right w:w="108" w:type="dxa"/>
        </w:tblCellMar>
      </w:tblPr>
      <w:tblGrid>
        <w:gridCol w:w="2951"/>
        <w:gridCol w:w="2951"/>
        <w:gridCol w:w="2951"/>
      </w:tblGrid>
      <w:tr>
        <w:trPr>
          <w:trHeight w:val="224" w:hRule="atLeast"/>
        </w:trPr>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jc w:val="both"/>
              <w:rPr>
                <w:b/>
                <w:b/>
                <w:bCs/>
              </w:rPr>
            </w:pPr>
            <w:r>
              <w:rPr>
                <w:b/>
                <w:bCs/>
              </w:rPr>
              <w:t xml:space="preserve">Realizacja LSR: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jc w:val="both"/>
              <w:rPr>
                <w:b/>
                <w:b/>
                <w:bCs/>
              </w:rPr>
            </w:pPr>
            <w:r>
              <w:rPr>
                <w:b/>
                <w:bCs/>
              </w:rPr>
              <w:t xml:space="preserve">Działalność biura: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jc w:val="both"/>
              <w:rPr>
                <w:b/>
                <w:b/>
                <w:bCs/>
              </w:rPr>
            </w:pPr>
            <w:r>
              <w:rPr>
                <w:b/>
                <w:bCs/>
              </w:rPr>
              <w:t xml:space="preserve">Funkcjonowanie partnerstwa: </w:t>
            </w:r>
          </w:p>
        </w:tc>
      </w:tr>
      <w:tr>
        <w:trPr>
          <w:trHeight w:val="1462" w:hRule="atLeast"/>
        </w:trPr>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stopień realizacji budżetu, zgodność z harmonogramem ogłaszania konkursów, klarowność i zrozumiałość kryteriów i procedur, wpływ kryteriów wyboru projektów na wybór projektów spójnych z celami LSR, prawidłowość przyjętego systemu wskaźników pod względem gromadzenia informacji w procesie realizacji LSR i jej rezultatach, stopień osiągnięcia celu głównego i przypisanych do niego wskaźników LSR, poziom kapitału społecznego i efektywność działań wspomagających budowanie tego kapitału, wpływ LSR na rozwój przedsiębiorczości, wpływ LSR na budowanie lokalnego potencjału w zakresie turystyki i rekreacji, prawidłowość identyfikacji grup defaworyzowanych i adekwatność działań LSR do potrzeb tych grup, ocena innowacyjności projektów realizowanych w ramach LSR, ocena skuteczności i efektów wdrażanych projektów współpracy, wpływ LGD na poprawę komunikacji pomiędzy różnymi aktorami, budowanie powiązań pomiędzy nimi i sieciowanie, poziom wykorzystania stworzonego w ramach LSR potencjału rozwojowego, spójność realizowanych projektów ze zidentyfikowanym potencjałem rozwojowym obszaru objętego LSR, komplementarność zrealizowanych inwestycji względem siebie lub wiodącego tematu określonego w LSR</w:t>
            </w:r>
          </w:p>
          <w:p>
            <w:pPr>
              <w:pStyle w:val="Default"/>
              <w:spacing w:before="60" w:after="0"/>
              <w:rPr>
                <w:rFonts w:eastAsia="Times New Roman"/>
                <w:strike/>
              </w:rPr>
            </w:pPr>
            <w:r>
              <w:rPr>
                <w:rFonts w:eastAsia="Times New Roman"/>
                <w:strike/>
              </w:rPr>
              <w:t xml:space="preserve">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rPr/>
            </w:pPr>
            <w:r>
              <w:rPr>
                <w:sz w:val="20"/>
                <w:szCs w:val="20"/>
              </w:rPr>
              <w:t>Skuteczność i efektywność  działań biura LGD, rzetelne i terminowe wypełnianie obowiązków wskazanych w umowie, kreatywne podejście do powierzonych zadań, czytelność strony, aktualizacja strony i jakość zamieszczanych artykułów, zadowolenie ze szkoleń przeprowadzanych przez LGD – merytoryka szkolenia, stopień przydatności uzyskanych informacji, zadowolenie z wydarzeń organizowanych przez LGD – trafność terminu, lokalizacji, formuły, przygotowania do wydarzenia od strony logistycznej, promocji.</w:t>
            </w:r>
            <w:r>
              <w:rPr>
                <w:strike/>
              </w:rPr>
              <w:t xml:space="preserve"> </w:t>
            </w:r>
          </w:p>
        </w:tc>
        <w:tc>
          <w:tcPr>
            <w:tcW w:w="2951"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wpływ działania partnerstwa na efektywną i skuteczną realizację LSR, efektywność i przejrzystość procedur postepowania i podejmowania decyzji przez Radę, uczestnictwo w posiedzeniach, realizacja LSR zgodnie z harmonogramem.</w:t>
            </w:r>
          </w:p>
        </w:tc>
      </w:tr>
    </w:tbl>
    <w:p>
      <w:pPr>
        <w:pStyle w:val="Normal"/>
        <w:rPr/>
      </w:pPr>
      <w:r>
        <w:rPr/>
      </w:r>
    </w:p>
    <w:p>
      <w:pPr>
        <w:pStyle w:val="Default"/>
        <w:spacing w:before="60" w:after="0"/>
        <w:jc w:val="both"/>
        <w:rPr>
          <w:u w:val="single"/>
        </w:rPr>
      </w:pPr>
      <w:r>
        <w:rPr>
          <w:b/>
          <w:bCs/>
          <w:u w:val="single"/>
        </w:rPr>
        <w:t xml:space="preserve">Zakres podmiotowy badania </w:t>
      </w:r>
    </w:p>
    <w:p>
      <w:pPr>
        <w:pStyle w:val="Default"/>
        <w:spacing w:before="60" w:after="0"/>
        <w:jc w:val="both"/>
        <w:rPr/>
      </w:pPr>
      <w:r>
        <w:rPr/>
        <w:t>Pracownicy i kierownictwo biura, członkowie LGD, Zarząd LGD, beneficjenci operacji, wnioskodawcy, którzy nie uzyskali dofinansowania, organizacje pozarządowe, mieszkańcy.</w:t>
      </w:r>
    </w:p>
    <w:p>
      <w:pPr>
        <w:pStyle w:val="Default"/>
        <w:spacing w:before="60" w:after="0"/>
        <w:jc w:val="both"/>
        <w:rPr>
          <w:rFonts w:eastAsia="Times New Roman"/>
        </w:rPr>
      </w:pPr>
      <w:r>
        <w:rPr>
          <w:rFonts w:eastAsia="Times New Roman"/>
        </w:rPr>
        <w:t xml:space="preserve"> </w:t>
      </w:r>
    </w:p>
    <w:p>
      <w:pPr>
        <w:pStyle w:val="Default"/>
        <w:spacing w:before="60" w:after="0"/>
        <w:jc w:val="both"/>
        <w:rPr>
          <w:u w:val="single"/>
        </w:rPr>
      </w:pPr>
      <w:r>
        <w:rPr>
          <w:b/>
          <w:bCs/>
          <w:u w:val="single"/>
        </w:rPr>
        <w:t xml:space="preserve">Stosowane kryteria ewaluacyjne </w:t>
      </w:r>
    </w:p>
    <w:p>
      <w:pPr>
        <w:pStyle w:val="Default"/>
        <w:spacing w:before="60" w:after="0"/>
        <w:jc w:val="both"/>
        <w:rPr/>
      </w:pPr>
      <w:r>
        <w:rPr/>
        <w:t xml:space="preserve">Kryterium </w:t>
      </w:r>
      <w:r>
        <w:rPr>
          <w:b/>
          <w:bCs/>
        </w:rPr>
        <w:t xml:space="preserve">skuteczności </w:t>
      </w:r>
      <w:r>
        <w:rPr/>
        <w:t xml:space="preserve">bezpośrednio pozwoli ocenić, na ile skuteczne są działania </w:t>
        <w:br/>
        <w:t xml:space="preserve">w zakresie osiągania celów określonych w dokumentach programowych oraz jak skuteczna jest działalność biura. Z kryterium skuteczności powiązane jest również kryterium </w:t>
      </w:r>
      <w:r>
        <w:rPr>
          <w:b/>
          <w:bCs/>
        </w:rPr>
        <w:t xml:space="preserve">użyteczności, </w:t>
      </w:r>
      <w:r>
        <w:rPr/>
        <w:t xml:space="preserve">które rozumiane jest, jako kryterium pozwalające ocenić stopień zaspokojenia istotnych potrzeb grup docelowych lub przyczynienia się do rozwiązania problemów, niezależnie od tego, czy były one zasygnalizowane przez cele interwencji. Zastosowane będzie także kryterium </w:t>
      </w:r>
      <w:r>
        <w:rPr>
          <w:b/>
          <w:bCs/>
        </w:rPr>
        <w:t>trwałości</w:t>
      </w:r>
      <w:r>
        <w:rPr/>
        <w:t xml:space="preserve">. 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 </w:t>
      </w:r>
    </w:p>
    <w:p>
      <w:pPr>
        <w:pStyle w:val="Default"/>
        <w:spacing w:before="60" w:after="0"/>
        <w:jc w:val="both"/>
        <w:rPr/>
      </w:pPr>
      <w:r>
        <w:rPr/>
        <w:t xml:space="preserve">Przeprowadzenie badania wymaga zebrania informacji pochodzących z szeregu rozproszonych źródeł, dokonaniu ich analizy, a następnie wypracowaniu rekomendacji na poziomie eksperckim. Implikuje to konieczność zastosowania w badaniu szerokiego instrumentarium metod i technik badawczych, dzięki którym możliwe będzie zgromadzenie kompletnego i wiarygodnego materiału badawczego dotyczącego efektów realizacji LSR. W związku z powyższym planowana jest realizacja badania z wykorzystaniem koncepcji </w:t>
      </w:r>
      <w:r>
        <w:rPr>
          <w:b/>
          <w:bCs/>
        </w:rPr>
        <w:t xml:space="preserve">triangulacji </w:t>
      </w:r>
      <w:r>
        <w:rPr/>
        <w:t xml:space="preserve">metodologicznej. </w:t>
      </w:r>
    </w:p>
    <w:p>
      <w:pPr>
        <w:pStyle w:val="Default"/>
        <w:spacing w:before="60" w:after="0"/>
        <w:jc w:val="both"/>
        <w:rPr/>
      </w:pPr>
      <w:r>
        <w:rPr/>
        <w:t xml:space="preserve">Triangulacja to zróżnicowanie źródeł danych, metod badawczych i perspektyw badawczych, dzięki któremu możliwe jest zgromadzenie wszechstronnego materiału badawczego i poddanie go kompleksowej analizie i ocenie. </w:t>
      </w:r>
    </w:p>
    <w:p>
      <w:pPr>
        <w:pStyle w:val="Default"/>
        <w:spacing w:before="60" w:after="0"/>
        <w:jc w:val="both"/>
        <w:rPr/>
      </w:pPr>
      <w:r>
        <w:rPr/>
        <w:t xml:space="preserve">Triangulacja zostanie zastosowana odnośnie: </w:t>
      </w:r>
    </w:p>
    <w:p>
      <w:pPr>
        <w:pStyle w:val="Default"/>
        <w:numPr>
          <w:ilvl w:val="0"/>
          <w:numId w:val="38"/>
        </w:numPr>
        <w:spacing w:before="60" w:after="0"/>
        <w:jc w:val="both"/>
        <w:rPr/>
      </w:pPr>
      <w:r>
        <w:rPr>
          <w:b/>
        </w:rPr>
        <w:t>źródeł danych:</w:t>
      </w:r>
      <w:r>
        <w:rPr/>
        <w:t xml:space="preserve"> przeanalizowane będą zarówno dokumenty zastane różnego typu, jak i dane wywołane pochodzące ze wcześniejszych badań; dane zastaną uzupełnione danymi pierwotnymi. </w:t>
      </w:r>
    </w:p>
    <w:p>
      <w:pPr>
        <w:pStyle w:val="Default"/>
        <w:numPr>
          <w:ilvl w:val="0"/>
          <w:numId w:val="38"/>
        </w:numPr>
        <w:spacing w:before="60" w:after="0"/>
        <w:jc w:val="both"/>
        <w:rPr/>
      </w:pPr>
      <w:r>
        <w:rPr>
          <w:b/>
        </w:rPr>
        <w:t>metod badawczych:</w:t>
      </w:r>
      <w:r>
        <w:rPr/>
        <w:t xml:space="preserve"> łączenie różnych metod badawczych w badaniu tych samych zagadnień, co pozwoli na uchwycenie różnych aspektów badanego przedmiotu; podejście to pozwoli też wykorzystać mocne strony każdej metody przy wzajemnej ograniczeniu ich słabości; </w:t>
      </w:r>
    </w:p>
    <w:p>
      <w:pPr>
        <w:pStyle w:val="Default"/>
        <w:numPr>
          <w:ilvl w:val="0"/>
          <w:numId w:val="38"/>
        </w:numPr>
        <w:spacing w:before="60" w:after="0"/>
        <w:jc w:val="both"/>
        <w:rPr/>
      </w:pPr>
      <w:r>
        <w:rPr>
          <w:b/>
        </w:rPr>
        <w:t>perspektyw badawczych:</w:t>
      </w:r>
      <w:r>
        <w:rPr/>
        <w:t xml:space="preserve"> ewaluacja zostanie przeprowadzona przez pracowników biura oraz przez zewnętrznych doświadczonych badaczy, co pozwoli uzyskać bogatszy i bardziej wiarygodny obraz badanych zagadnień. Poza tym zastosowany zostanie partycypacyjny model badania, którego ideą jest jak najszersze zaangażowanie społeczności zarówno na etapie przygotowania badania, jego realizacji, jak i wnioskowania i rekomendacji. </w:t>
      </w:r>
    </w:p>
    <w:p>
      <w:pPr>
        <w:pStyle w:val="Default"/>
        <w:spacing w:before="60" w:after="0"/>
        <w:jc w:val="both"/>
        <w:rPr/>
      </w:pPr>
      <w:r>
        <w:rPr/>
      </w:r>
    </w:p>
    <w:p>
      <w:pPr>
        <w:pStyle w:val="Default"/>
        <w:spacing w:before="60" w:after="0"/>
        <w:jc w:val="both"/>
        <w:rPr/>
      </w:pPr>
      <w:r>
        <w:rPr/>
        <w:t xml:space="preserve">W zależności od zakresu przedmiotowego i podmiotowego badania niezbędne będzie zastosowanie holistycznego podejścia do metod i technik badawczych. W każdym </w:t>
        <w:br/>
        <w:t xml:space="preserve">z zamierzeń badawczych: realizacji strategii, działaniu LGD oraz funkcjonowaniu biura zastosowane zostaną co najmniej 3 z poniższych metod lub technik badawczych: </w:t>
      </w:r>
    </w:p>
    <w:p>
      <w:pPr>
        <w:pStyle w:val="Default"/>
        <w:numPr>
          <w:ilvl w:val="0"/>
          <w:numId w:val="30"/>
        </w:numPr>
        <w:spacing w:before="60" w:after="0"/>
        <w:jc w:val="both"/>
        <w:rPr/>
      </w:pPr>
      <w:r>
        <w:rPr/>
        <w:t xml:space="preserve">Analiza danych zastanych (desk research) - to zbieranie i analiza danych zastanych, zgromadzonych w ramach innych działań lub pozyskanych bez aktywnego działania badawczego; </w:t>
      </w:r>
    </w:p>
    <w:p>
      <w:pPr>
        <w:pStyle w:val="Default"/>
        <w:numPr>
          <w:ilvl w:val="0"/>
          <w:numId w:val="30"/>
        </w:numPr>
        <w:spacing w:before="60" w:after="0"/>
        <w:jc w:val="both"/>
        <w:rPr/>
      </w:pPr>
      <w:r>
        <w:rPr/>
        <w:t xml:space="preserve">Ankieta CAWI - to badanie metodą kwestionariuszową z zastosowaniem ankiety internetowej możliwej do wypełnienia ze strony internetowej lub wysłanej na adres mailowy respondenta. Ta druga możliwość zapewnia większą kontrolę, wiarygodność i może być stosowana w ewaluacji; </w:t>
      </w:r>
    </w:p>
    <w:p>
      <w:pPr>
        <w:pStyle w:val="Default"/>
        <w:numPr>
          <w:ilvl w:val="0"/>
          <w:numId w:val="30"/>
        </w:numPr>
        <w:spacing w:before="60" w:after="0"/>
        <w:jc w:val="both"/>
        <w:rPr/>
      </w:pPr>
      <w:r>
        <w:rPr/>
        <w:t xml:space="preserve">Wywiady IDI (indywidualne, również przez telefon) - pozwalają na uzyskanie pogłębionych informacji dotyczących nie tylko faktów, ale również interpretacji zjawisk, motywacji czy emocji; </w:t>
      </w:r>
    </w:p>
    <w:p>
      <w:pPr>
        <w:pStyle w:val="Default"/>
        <w:numPr>
          <w:ilvl w:val="0"/>
          <w:numId w:val="30"/>
        </w:numPr>
        <w:spacing w:before="60" w:after="0"/>
        <w:jc w:val="both"/>
        <w:rPr/>
      </w:pPr>
      <w:r>
        <w:rPr/>
        <w:t xml:space="preserve">Wywiady FGI (zogniskowane wywiady grupowe) - to wersja grupowa pogłębionych wywiadów indywidualnych, dzięki którym uzyskujemy skumulowany efekt informacyjny, dzięki procesom grupowym możemy pozyskać zobiektywizowane wyniki; </w:t>
      </w:r>
    </w:p>
    <w:p>
      <w:pPr>
        <w:pStyle w:val="Default"/>
        <w:spacing w:before="60" w:after="0"/>
        <w:jc w:val="both"/>
        <w:rPr/>
      </w:pPr>
      <w:r>
        <w:rPr/>
      </w:r>
    </w:p>
    <w:p>
      <w:pPr>
        <w:pStyle w:val="Default"/>
        <w:spacing w:before="60" w:after="0"/>
        <w:rPr>
          <w:u w:val="single"/>
        </w:rPr>
      </w:pPr>
      <w:r>
        <w:rPr>
          <w:b/>
          <w:bCs/>
          <w:u w:val="single"/>
        </w:rPr>
        <w:t xml:space="preserve">Procedury monitoringu i ewaluacji </w:t>
      </w:r>
    </w:p>
    <w:p>
      <w:pPr>
        <w:pStyle w:val="Default"/>
        <w:spacing w:before="60" w:after="0"/>
        <w:jc w:val="both"/>
        <w:rPr/>
      </w:pPr>
      <w:r>
        <w:rPr/>
        <w:t>Zarząd LGD powoła zespół ewaluacyjny do realizacji corocznej ewaluacji wewnętrznej. Zespół ewaluacyjny składać się będzie z pracowników Biura LGD, członków Zarządu, Rady LGD oraz fakultatywnie z zaproszonych przedstawicieli beneficjantów, samorządu województwa lub innych LGD.</w:t>
      </w:r>
    </w:p>
    <w:p>
      <w:pPr>
        <w:pStyle w:val="Default"/>
        <w:spacing w:before="60" w:after="0"/>
        <w:jc w:val="both"/>
        <w:rPr/>
      </w:pPr>
      <w:r>
        <w:rPr/>
        <w:t xml:space="preserve">Zespół ewaluacyjny ma za zadanie w szczególności zapoznać się z przygotowanymi przez Biuro LGD materiałami oraz wziąć aktywny udział w warsztatach refleksyjnych. Podsumowanie z warsztatów zostanie opracowane w formie raportu. </w:t>
      </w:r>
    </w:p>
    <w:p>
      <w:pPr>
        <w:pStyle w:val="Default"/>
        <w:spacing w:before="60" w:after="0"/>
        <w:jc w:val="both"/>
        <w:rPr/>
      </w:pPr>
      <w:r>
        <w:rPr/>
        <w:t>Załącznikiem do procedury jest tabela, w której na podstawie zakresu przedmiotowego opisany jest sposób wykonywania monitoringu i ewaluacji według poniższych pytań:</w:t>
      </w:r>
    </w:p>
    <w:p>
      <w:pPr>
        <w:pStyle w:val="Default"/>
        <w:spacing w:before="60" w:after="0"/>
        <w:jc w:val="both"/>
        <w:rPr/>
      </w:pPr>
      <w:r>
        <w:rPr/>
      </w:r>
    </w:p>
    <w:tbl>
      <w:tblPr>
        <w:tblW w:w="8939" w:type="dxa"/>
        <w:jc w:val="center"/>
        <w:tblInd w:w="0" w:type="dxa"/>
        <w:tblLayout w:type="fixed"/>
        <w:tblCellMar>
          <w:top w:w="0" w:type="dxa"/>
          <w:left w:w="108" w:type="dxa"/>
          <w:bottom w:w="0" w:type="dxa"/>
          <w:right w:w="108" w:type="dxa"/>
        </w:tblCellMar>
      </w:tblPr>
      <w:tblGrid>
        <w:gridCol w:w="1974"/>
        <w:gridCol w:w="1708"/>
        <w:gridCol w:w="1708"/>
        <w:gridCol w:w="1708"/>
        <w:gridCol w:w="1841"/>
      </w:tblGrid>
      <w:tr>
        <w:trPr>
          <w:trHeight w:val="228" w:hRule="atLeast"/>
        </w:trPr>
        <w:tc>
          <w:tcPr>
            <w:tcW w:w="1974"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 xml:space="preserve">CO SIĘ BADA? </w:t>
            </w:r>
          </w:p>
        </w:tc>
        <w:tc>
          <w:tcPr>
            <w:tcW w:w="1708"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KTO</w:t>
            </w:r>
          </w:p>
          <w:p>
            <w:pPr>
              <w:pStyle w:val="Default"/>
              <w:rPr>
                <w:b/>
                <w:b/>
                <w:sz w:val="20"/>
                <w:szCs w:val="20"/>
              </w:rPr>
            </w:pPr>
            <w:r>
              <w:rPr>
                <w:b/>
                <w:sz w:val="20"/>
                <w:szCs w:val="20"/>
              </w:rPr>
              <w:t xml:space="preserve">WYKONUJE? </w:t>
            </w:r>
          </w:p>
        </w:tc>
        <w:tc>
          <w:tcPr>
            <w:tcW w:w="1708"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 xml:space="preserve">JAK SIĘ WYKONUJE? </w:t>
            </w:r>
          </w:p>
        </w:tc>
        <w:tc>
          <w:tcPr>
            <w:tcW w:w="1708" w:type="dxa"/>
            <w:tcBorders>
              <w:top w:val="single" w:sz="4" w:space="0" w:color="000000"/>
              <w:left w:val="single" w:sz="4" w:space="0" w:color="000000"/>
              <w:bottom w:val="single" w:sz="4" w:space="0" w:color="000000"/>
              <w:right w:val="single" w:sz="4" w:space="0" w:color="000000"/>
            </w:tcBorders>
            <w:shd w:fill="92D050" w:val="clear"/>
          </w:tcPr>
          <w:p>
            <w:pPr>
              <w:pStyle w:val="Default"/>
              <w:rPr>
                <w:b/>
                <w:b/>
                <w:sz w:val="20"/>
                <w:szCs w:val="20"/>
              </w:rPr>
            </w:pPr>
            <w:r>
              <w:rPr>
                <w:b/>
                <w:sz w:val="20"/>
                <w:szCs w:val="20"/>
              </w:rPr>
              <w:t xml:space="preserve">KIEDY? </w:t>
            </w:r>
          </w:p>
        </w:tc>
        <w:tc>
          <w:tcPr>
            <w:tcW w:w="1841" w:type="dxa"/>
            <w:tcBorders>
              <w:top w:val="single" w:sz="4" w:space="0" w:color="000000"/>
              <w:left w:val="single" w:sz="4" w:space="0" w:color="000000"/>
              <w:bottom w:val="single" w:sz="4" w:space="0" w:color="000000"/>
              <w:right w:val="single" w:sz="4" w:space="0" w:color="000000"/>
            </w:tcBorders>
            <w:shd w:fill="00B050" w:val="clear"/>
          </w:tcPr>
          <w:p>
            <w:pPr>
              <w:pStyle w:val="Default"/>
              <w:rPr>
                <w:b/>
                <w:b/>
                <w:sz w:val="20"/>
                <w:szCs w:val="20"/>
              </w:rPr>
            </w:pPr>
            <w:r>
              <w:rPr>
                <w:b/>
                <w:i/>
                <w:iCs/>
                <w:sz w:val="20"/>
                <w:szCs w:val="20"/>
              </w:rPr>
              <w:t xml:space="preserve">OCENA </w:t>
            </w:r>
          </w:p>
        </w:tc>
      </w:tr>
    </w:tbl>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t>Tabela 1. Sposób realizacji monitoringu i ewaluacji</w:t>
      </w:r>
    </w:p>
    <w:p>
      <w:pPr>
        <w:pStyle w:val="Normal"/>
        <w:spacing w:lineRule="auto" w:line="240" w:before="60" w:after="0"/>
        <w:rPr>
          <w:rFonts w:ascii="Times New Roman" w:hAnsi="Times New Roman" w:cs="Times New Roman"/>
          <w:b/>
          <w:b/>
          <w:bCs/>
          <w:sz w:val="24"/>
          <w:szCs w:val="24"/>
        </w:rPr>
      </w:pPr>
      <w:r>
        <w:rPr>
          <w:rFonts w:cs="Times New Roman" w:ascii="Times New Roman" w:hAnsi="Times New Roman"/>
          <w:b/>
          <w:bCs/>
          <w:sz w:val="24"/>
          <w:szCs w:val="24"/>
        </w:rPr>
      </w:r>
    </w:p>
    <w:tbl>
      <w:tblPr>
        <w:tblW w:w="9556" w:type="dxa"/>
        <w:jc w:val="center"/>
        <w:tblInd w:w="0" w:type="dxa"/>
        <w:tblLayout w:type="fixed"/>
        <w:tblCellMar>
          <w:top w:w="0" w:type="dxa"/>
          <w:left w:w="108" w:type="dxa"/>
          <w:bottom w:w="0" w:type="dxa"/>
          <w:right w:w="108" w:type="dxa"/>
        </w:tblCellMar>
      </w:tblPr>
      <w:tblGrid>
        <w:gridCol w:w="1911"/>
        <w:gridCol w:w="1911"/>
        <w:gridCol w:w="1911"/>
        <w:gridCol w:w="1746"/>
        <w:gridCol w:w="2077"/>
      </w:tblGrid>
      <w:tr>
        <w:trPr>
          <w:trHeight w:val="224" w:hRule="atLeast"/>
        </w:trPr>
        <w:tc>
          <w:tcPr>
            <w:tcW w:w="1911"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CO SIĘ BADA?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KTO </w:t>
            </w:r>
          </w:p>
          <w:p>
            <w:pPr>
              <w:pStyle w:val="Default"/>
              <w:rPr>
                <w:b/>
                <w:b/>
                <w:bCs/>
              </w:rPr>
            </w:pPr>
            <w:r>
              <w:rPr>
                <w:b/>
                <w:bCs/>
              </w:rPr>
              <w:t xml:space="preserve">WYKONUJE?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JAK SIĘ WYKONUJE? </w:t>
            </w:r>
          </w:p>
        </w:tc>
        <w:tc>
          <w:tcPr>
            <w:tcW w:w="1746"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KIEDY? </w:t>
            </w:r>
          </w:p>
        </w:tc>
        <w:tc>
          <w:tcPr>
            <w:tcW w:w="2077" w:type="dxa"/>
            <w:tcBorders>
              <w:top w:val="single" w:sz="4" w:space="0" w:color="000000"/>
              <w:left w:val="single" w:sz="4" w:space="0" w:color="000000"/>
              <w:bottom w:val="single" w:sz="4" w:space="0" w:color="000000"/>
              <w:right w:val="single" w:sz="4" w:space="0" w:color="000000"/>
            </w:tcBorders>
          </w:tcPr>
          <w:p>
            <w:pPr>
              <w:pStyle w:val="Default"/>
              <w:rPr>
                <w:b/>
                <w:b/>
                <w:bCs/>
              </w:rPr>
            </w:pPr>
            <w:r>
              <w:rPr>
                <w:b/>
                <w:bCs/>
              </w:rPr>
              <w:t xml:space="preserve">OCENA </w:t>
            </w:r>
          </w:p>
        </w:tc>
      </w:tr>
      <w:tr>
        <w:trPr>
          <w:trHeight w:val="101" w:hRule="atLeast"/>
        </w:trPr>
        <w:tc>
          <w:tcPr>
            <w:tcW w:w="9556" w:type="dxa"/>
            <w:gridSpan w:val="5"/>
            <w:tcBorders>
              <w:top w:val="single" w:sz="4" w:space="0" w:color="000000"/>
              <w:left w:val="single" w:sz="4" w:space="0" w:color="000000"/>
              <w:bottom w:val="single" w:sz="4" w:space="0" w:color="000000"/>
              <w:right w:val="single" w:sz="4" w:space="0" w:color="000000"/>
            </w:tcBorders>
            <w:shd w:fill="FFFF00" w:val="clear"/>
            <w:vAlign w:val="center"/>
          </w:tcPr>
          <w:p>
            <w:pPr>
              <w:pStyle w:val="Default"/>
              <w:jc w:val="center"/>
              <w:rPr>
                <w:b/>
                <w:b/>
                <w:bCs/>
              </w:rPr>
            </w:pPr>
            <w:r>
              <w:rPr>
                <w:b/>
                <w:bCs/>
              </w:rPr>
              <w:br/>
              <w:t>Monitoring</w:t>
            </w:r>
          </w:p>
          <w:p>
            <w:pPr>
              <w:pStyle w:val="Default"/>
              <w:rPr>
                <w:b/>
                <w:b/>
                <w:bCs/>
              </w:rPr>
            </w:pPr>
            <w:r>
              <w:rPr>
                <w:b/>
                <w:bCs/>
              </w:rPr>
            </w:r>
          </w:p>
        </w:tc>
      </w:tr>
      <w:tr>
        <w:trPr>
          <w:trHeight w:val="3045" w:hRule="atLeast"/>
        </w:trPr>
        <w:tc>
          <w:tcPr>
            <w:tcW w:w="1911"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Wskaźniki realizacji LSR</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Budżet LGD </w:t>
            </w:r>
          </w:p>
          <w:p>
            <w:pPr>
              <w:pStyle w:val="Default"/>
              <w:rPr>
                <w:sz w:val="20"/>
                <w:szCs w:val="20"/>
              </w:rPr>
            </w:pPr>
            <w:r>
              <w:rPr>
                <w:sz w:val="20"/>
                <w:szCs w:val="20"/>
              </w:rPr>
            </w:r>
          </w:p>
          <w:p>
            <w:pPr>
              <w:pStyle w:val="Default"/>
              <w:rPr>
                <w:sz w:val="20"/>
                <w:szCs w:val="20"/>
              </w:rPr>
            </w:pPr>
            <w:r>
              <w:rPr>
                <w:sz w:val="20"/>
                <w:szCs w:val="20"/>
              </w:rPr>
              <w:t xml:space="preserve">Harmonogram ogłaszania konkursów </w:t>
            </w:r>
          </w:p>
          <w:p>
            <w:pPr>
              <w:pStyle w:val="Default"/>
              <w:rPr>
                <w:sz w:val="20"/>
                <w:szCs w:val="20"/>
              </w:rPr>
            </w:pPr>
            <w:r>
              <w:rPr>
                <w:sz w:val="20"/>
                <w:szCs w:val="20"/>
              </w:rPr>
            </w:r>
          </w:p>
          <w:p>
            <w:pPr>
              <w:pStyle w:val="Default"/>
              <w:rPr>
                <w:sz w:val="20"/>
                <w:szCs w:val="20"/>
              </w:rPr>
            </w:pPr>
            <w:r>
              <w:rPr>
                <w:sz w:val="20"/>
                <w:szCs w:val="20"/>
              </w:rPr>
              <w:t>Funkcjonowanie partnerstwa LGD</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Funkcjonowanie biura i ocena pracowników </w:t>
            </w:r>
          </w:p>
          <w:p>
            <w:pPr>
              <w:pStyle w:val="Default"/>
              <w:rPr>
                <w:sz w:val="20"/>
                <w:szCs w:val="20"/>
              </w:rPr>
            </w:pPr>
            <w:r>
              <w:rPr>
                <w:sz w:val="20"/>
                <w:szCs w:val="20"/>
              </w:rPr>
            </w:r>
          </w:p>
          <w:p>
            <w:pPr>
              <w:pStyle w:val="Default"/>
              <w:rPr>
                <w:sz w:val="20"/>
                <w:szCs w:val="20"/>
              </w:rPr>
            </w:pPr>
            <w:r>
              <w:rPr>
                <w:sz w:val="20"/>
                <w:szCs w:val="20"/>
              </w:rPr>
              <w:t xml:space="preserve">Realizacja planu komunikacji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Pracownicy biura LGD </w:t>
            </w:r>
          </w:p>
        </w:tc>
        <w:tc>
          <w:tcPr>
            <w:tcW w:w="1911"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Dane zebrane z przeprowadzonych konkursów, </w:t>
            </w:r>
          </w:p>
          <w:p>
            <w:pPr>
              <w:pStyle w:val="Default"/>
              <w:rPr>
                <w:sz w:val="20"/>
                <w:szCs w:val="20"/>
              </w:rPr>
            </w:pPr>
            <w:r>
              <w:rPr>
                <w:sz w:val="20"/>
                <w:szCs w:val="20"/>
              </w:rPr>
            </w:r>
          </w:p>
          <w:p>
            <w:pPr>
              <w:pStyle w:val="Default"/>
              <w:rPr>
                <w:sz w:val="20"/>
                <w:szCs w:val="20"/>
              </w:rPr>
            </w:pPr>
            <w:r>
              <w:rPr>
                <w:sz w:val="20"/>
                <w:szCs w:val="20"/>
              </w:rPr>
              <w:t xml:space="preserve">Rejestr danych, </w:t>
            </w:r>
          </w:p>
        </w:tc>
        <w:tc>
          <w:tcPr>
            <w:tcW w:w="1746"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Na bieżąco </w:t>
            </w:r>
          </w:p>
        </w:tc>
        <w:tc>
          <w:tcPr>
            <w:tcW w:w="2077" w:type="dxa"/>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Stopień realizacji wskaźników </w:t>
            </w:r>
          </w:p>
          <w:p>
            <w:pPr>
              <w:pStyle w:val="Default"/>
              <w:rPr>
                <w:sz w:val="20"/>
                <w:szCs w:val="20"/>
              </w:rPr>
            </w:pPr>
            <w:r>
              <w:rPr>
                <w:sz w:val="20"/>
                <w:szCs w:val="20"/>
              </w:rPr>
            </w:r>
          </w:p>
          <w:p>
            <w:pPr>
              <w:pStyle w:val="Default"/>
              <w:rPr>
                <w:sz w:val="20"/>
                <w:szCs w:val="20"/>
              </w:rPr>
            </w:pPr>
            <w:r>
              <w:rPr>
                <w:sz w:val="20"/>
                <w:szCs w:val="20"/>
              </w:rPr>
              <w:t xml:space="preserve">Stopień wykorzystania funduszy </w:t>
            </w:r>
          </w:p>
          <w:p>
            <w:pPr>
              <w:pStyle w:val="Default"/>
              <w:rPr>
                <w:sz w:val="20"/>
                <w:szCs w:val="20"/>
              </w:rPr>
            </w:pPr>
            <w:r>
              <w:rPr>
                <w:sz w:val="20"/>
                <w:szCs w:val="20"/>
              </w:rPr>
            </w:r>
          </w:p>
          <w:p>
            <w:pPr>
              <w:pStyle w:val="Default"/>
              <w:rPr>
                <w:sz w:val="20"/>
                <w:szCs w:val="20"/>
              </w:rPr>
            </w:pPr>
            <w:r>
              <w:rPr>
                <w:sz w:val="20"/>
                <w:szCs w:val="20"/>
              </w:rPr>
              <w:t xml:space="preserve">Wysokość zakontraktowanych środków </w:t>
            </w:r>
          </w:p>
          <w:p>
            <w:pPr>
              <w:pStyle w:val="Default"/>
              <w:rPr>
                <w:sz w:val="20"/>
                <w:szCs w:val="20"/>
              </w:rPr>
            </w:pPr>
            <w:r>
              <w:rPr>
                <w:sz w:val="20"/>
                <w:szCs w:val="20"/>
              </w:rPr>
            </w:r>
          </w:p>
          <w:p>
            <w:pPr>
              <w:pStyle w:val="Default"/>
              <w:rPr>
                <w:sz w:val="20"/>
                <w:szCs w:val="20"/>
              </w:rPr>
            </w:pPr>
            <w:r>
              <w:rPr>
                <w:sz w:val="20"/>
                <w:szCs w:val="20"/>
              </w:rPr>
              <w:t xml:space="preserve">Zgodność ogłaszania konkursów z harmonogramem </w:t>
            </w:r>
          </w:p>
          <w:p>
            <w:pPr>
              <w:pStyle w:val="Default"/>
              <w:rPr>
                <w:sz w:val="20"/>
                <w:szCs w:val="20"/>
              </w:rPr>
            </w:pPr>
            <w:r>
              <w:rPr>
                <w:sz w:val="20"/>
                <w:szCs w:val="20"/>
              </w:rPr>
            </w:r>
          </w:p>
          <w:p>
            <w:pPr>
              <w:pStyle w:val="Default"/>
              <w:rPr>
                <w:sz w:val="20"/>
                <w:szCs w:val="20"/>
              </w:rPr>
            </w:pPr>
            <w:r>
              <w:rPr>
                <w:sz w:val="20"/>
                <w:szCs w:val="20"/>
              </w:rPr>
              <w:t xml:space="preserve">Liczba zmian harmonogramu </w:t>
            </w:r>
          </w:p>
          <w:p>
            <w:pPr>
              <w:pStyle w:val="Default"/>
              <w:rPr>
                <w:sz w:val="20"/>
                <w:szCs w:val="20"/>
              </w:rPr>
            </w:pPr>
            <w:r>
              <w:rPr>
                <w:sz w:val="20"/>
                <w:szCs w:val="20"/>
              </w:rPr>
            </w:r>
          </w:p>
          <w:p>
            <w:pPr>
              <w:pStyle w:val="Default"/>
              <w:rPr>
                <w:sz w:val="20"/>
                <w:szCs w:val="20"/>
              </w:rPr>
            </w:pPr>
            <w:r>
              <w:rPr>
                <w:sz w:val="20"/>
                <w:szCs w:val="20"/>
              </w:rPr>
              <w:t xml:space="preserve">Liczba członków LGD </w:t>
            </w:r>
          </w:p>
          <w:p>
            <w:pPr>
              <w:pStyle w:val="Default"/>
              <w:rPr>
                <w:sz w:val="20"/>
                <w:szCs w:val="20"/>
              </w:rPr>
            </w:pPr>
            <w:r>
              <w:rPr>
                <w:sz w:val="20"/>
                <w:szCs w:val="20"/>
              </w:rPr>
            </w:r>
          </w:p>
          <w:p>
            <w:pPr>
              <w:pStyle w:val="Default"/>
              <w:rPr>
                <w:sz w:val="20"/>
                <w:szCs w:val="20"/>
              </w:rPr>
            </w:pPr>
            <w:r>
              <w:rPr>
                <w:sz w:val="20"/>
                <w:szCs w:val="20"/>
              </w:rPr>
              <w:t>Liczba uchwał</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Liczba zmian w LSR </w:t>
            </w:r>
          </w:p>
          <w:p>
            <w:pPr>
              <w:pStyle w:val="Default"/>
              <w:rPr>
                <w:sz w:val="20"/>
                <w:szCs w:val="20"/>
              </w:rPr>
            </w:pPr>
            <w:r>
              <w:rPr>
                <w:sz w:val="20"/>
                <w:szCs w:val="20"/>
              </w:rPr>
            </w:r>
          </w:p>
          <w:p>
            <w:pPr>
              <w:pStyle w:val="Default"/>
              <w:rPr>
                <w:sz w:val="20"/>
                <w:szCs w:val="20"/>
              </w:rPr>
            </w:pPr>
            <w:r>
              <w:rPr>
                <w:sz w:val="20"/>
                <w:szCs w:val="20"/>
              </w:rPr>
              <w:t xml:space="preserve">Liczba odwołań od oceny operacji </w:t>
            </w:r>
          </w:p>
          <w:p>
            <w:pPr>
              <w:pStyle w:val="Default"/>
              <w:rPr>
                <w:sz w:val="20"/>
                <w:szCs w:val="20"/>
              </w:rPr>
            </w:pPr>
            <w:r>
              <w:rPr>
                <w:sz w:val="20"/>
                <w:szCs w:val="20"/>
              </w:rPr>
            </w:r>
          </w:p>
          <w:p>
            <w:pPr>
              <w:pStyle w:val="Default"/>
              <w:rPr>
                <w:sz w:val="20"/>
                <w:szCs w:val="20"/>
              </w:rPr>
            </w:pPr>
            <w:r>
              <w:rPr>
                <w:sz w:val="20"/>
                <w:szCs w:val="20"/>
              </w:rPr>
              <w:t xml:space="preserve">Wyniki oceny pracowników </w:t>
            </w:r>
          </w:p>
          <w:p>
            <w:pPr>
              <w:pStyle w:val="Default"/>
              <w:rPr>
                <w:sz w:val="20"/>
                <w:szCs w:val="20"/>
              </w:rPr>
            </w:pPr>
            <w:r>
              <w:rPr>
                <w:sz w:val="20"/>
                <w:szCs w:val="20"/>
              </w:rPr>
            </w:r>
          </w:p>
          <w:p>
            <w:pPr>
              <w:pStyle w:val="Default"/>
              <w:rPr>
                <w:sz w:val="20"/>
                <w:szCs w:val="20"/>
              </w:rPr>
            </w:pPr>
            <w:r>
              <w:rPr>
                <w:sz w:val="20"/>
                <w:szCs w:val="20"/>
              </w:rPr>
              <w:t xml:space="preserve">Liczba szkoleń </w:t>
            </w:r>
          </w:p>
          <w:p>
            <w:pPr>
              <w:pStyle w:val="Default"/>
              <w:rPr>
                <w:sz w:val="20"/>
                <w:szCs w:val="20"/>
              </w:rPr>
            </w:pPr>
            <w:r>
              <w:rPr>
                <w:sz w:val="20"/>
                <w:szCs w:val="20"/>
              </w:rPr>
            </w:r>
          </w:p>
          <w:p>
            <w:pPr>
              <w:pStyle w:val="Default"/>
              <w:rPr>
                <w:sz w:val="20"/>
                <w:szCs w:val="20"/>
              </w:rPr>
            </w:pPr>
            <w:r>
              <w:rPr>
                <w:sz w:val="20"/>
                <w:szCs w:val="20"/>
              </w:rPr>
              <w:t xml:space="preserve">Liczba udzielonych animacji i doradztwa </w:t>
            </w:r>
          </w:p>
          <w:p>
            <w:pPr>
              <w:pStyle w:val="Default"/>
              <w:rPr>
                <w:sz w:val="20"/>
                <w:szCs w:val="20"/>
              </w:rPr>
            </w:pPr>
            <w:r>
              <w:rPr>
                <w:sz w:val="20"/>
                <w:szCs w:val="20"/>
              </w:rPr>
            </w:r>
          </w:p>
          <w:p>
            <w:pPr>
              <w:pStyle w:val="Default"/>
              <w:rPr>
                <w:sz w:val="20"/>
                <w:szCs w:val="20"/>
              </w:rPr>
            </w:pPr>
            <w:r>
              <w:rPr>
                <w:sz w:val="20"/>
                <w:szCs w:val="20"/>
              </w:rPr>
              <w:t xml:space="preserve">Liczba działań zrealizowanych w ramach planu komunikacji </w:t>
            </w:r>
          </w:p>
        </w:tc>
      </w:tr>
    </w:tbl>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rPr>
          <w:rFonts w:ascii="Times New Roman" w:hAnsi="Times New Roman" w:cs="Times New Roman"/>
          <w:sz w:val="24"/>
          <w:szCs w:val="24"/>
        </w:rPr>
      </w:pPr>
      <w:r>
        <w:rPr>
          <w:rFonts w:cs="Times New Roman" w:ascii="Times New Roman" w:hAnsi="Times New Roman"/>
          <w:sz w:val="24"/>
          <w:szCs w:val="24"/>
        </w:rPr>
      </w:r>
    </w:p>
    <w:tbl>
      <w:tblPr>
        <w:tblW w:w="9606" w:type="dxa"/>
        <w:jc w:val="center"/>
        <w:tblInd w:w="0" w:type="dxa"/>
        <w:tblLayout w:type="fixed"/>
        <w:tblCellMar>
          <w:top w:w="0" w:type="dxa"/>
          <w:left w:w="108" w:type="dxa"/>
          <w:bottom w:w="0" w:type="dxa"/>
          <w:right w:w="108" w:type="dxa"/>
        </w:tblCellMar>
      </w:tblPr>
      <w:tblGrid>
        <w:gridCol w:w="1871"/>
        <w:gridCol w:w="32"/>
        <w:gridCol w:w="1602"/>
        <w:gridCol w:w="1703"/>
        <w:gridCol w:w="1562"/>
        <w:gridCol w:w="2836"/>
      </w:tblGrid>
      <w:tr>
        <w:trPr>
          <w:trHeight w:val="101" w:hRule="atLeast"/>
        </w:trPr>
        <w:tc>
          <w:tcPr>
            <w:tcW w:w="9606" w:type="dxa"/>
            <w:gridSpan w:val="6"/>
            <w:tcBorders>
              <w:top w:val="single" w:sz="4" w:space="0" w:color="000000"/>
              <w:left w:val="single" w:sz="4" w:space="0" w:color="000000"/>
              <w:bottom w:val="single" w:sz="4" w:space="0" w:color="000000"/>
              <w:right w:val="single" w:sz="4" w:space="0" w:color="000000"/>
            </w:tcBorders>
          </w:tcPr>
          <w:p>
            <w:pPr>
              <w:pStyle w:val="Default"/>
              <w:shd w:fill="F7CAAC" w:val="clear"/>
              <w:spacing w:before="60" w:after="0"/>
              <w:jc w:val="center"/>
              <w:rPr>
                <w:b/>
                <w:b/>
                <w:bCs/>
              </w:rPr>
            </w:pPr>
            <w:r>
              <w:rPr>
                <w:b/>
                <w:bCs/>
              </w:rPr>
              <w:br/>
              <w:t>Ewaluacja procesu realizacji LSR</w:t>
            </w:r>
          </w:p>
          <w:p>
            <w:pPr>
              <w:pStyle w:val="Default"/>
              <w:shd w:fill="F7CAAC" w:val="clear"/>
              <w:spacing w:before="60" w:after="0"/>
              <w:rPr>
                <w:b/>
                <w:b/>
                <w:bCs/>
              </w:rPr>
            </w:pPr>
            <w:r>
              <w:rPr>
                <w:b/>
                <w:bCs/>
              </w:rPr>
            </w:r>
          </w:p>
        </w:tc>
      </w:tr>
      <w:tr>
        <w:trPr>
          <w:trHeight w:val="3118" w:hRule="atLeast"/>
        </w:trPr>
        <w:tc>
          <w:tcPr>
            <w:tcW w:w="1903" w:type="dxa"/>
            <w:gridSpan w:val="2"/>
            <w:tcBorders>
              <w:top w:val="single" w:sz="4" w:space="0" w:color="000000"/>
              <w:left w:val="single" w:sz="4" w:space="0" w:color="000000"/>
              <w:bottom w:val="single" w:sz="4" w:space="0" w:color="000000"/>
              <w:right w:val="single" w:sz="4" w:space="0" w:color="000000"/>
            </w:tcBorders>
          </w:tcPr>
          <w:p>
            <w:pPr>
              <w:pStyle w:val="Default"/>
              <w:rPr>
                <w:sz w:val="20"/>
                <w:szCs w:val="20"/>
              </w:rPr>
            </w:pPr>
            <w:r>
              <w:rPr>
                <w:sz w:val="20"/>
                <w:szCs w:val="20"/>
              </w:rPr>
              <w:t xml:space="preserve">Czy realizacja finansowa i rzeczowa LSR odbywała się zgodnie z planem? </w:t>
            </w:r>
          </w:p>
          <w:p>
            <w:pPr>
              <w:pStyle w:val="Default"/>
              <w:rPr>
                <w:sz w:val="20"/>
                <w:szCs w:val="20"/>
              </w:rPr>
            </w:pPr>
            <w:r>
              <w:rPr>
                <w:sz w:val="20"/>
                <w:szCs w:val="20"/>
              </w:rPr>
            </w:r>
          </w:p>
          <w:p>
            <w:pPr>
              <w:pStyle w:val="Default"/>
              <w:rPr>
                <w:sz w:val="20"/>
                <w:szCs w:val="20"/>
              </w:rPr>
            </w:pPr>
            <w:r>
              <w:rPr>
                <w:sz w:val="20"/>
                <w:szCs w:val="20"/>
              </w:rPr>
              <w:t xml:space="preserve">Czy procedury na-boru, wyboru i realizacji projektów były wystarczająco przejrzyste i przyjazne dla beneficjentów? </w:t>
              <w:br/>
            </w:r>
          </w:p>
          <w:p>
            <w:pPr>
              <w:pStyle w:val="Default"/>
              <w:rPr>
                <w:sz w:val="20"/>
                <w:szCs w:val="20"/>
              </w:rPr>
            </w:pPr>
            <w:r>
              <w:rPr>
                <w:sz w:val="20"/>
                <w:szCs w:val="20"/>
              </w:rPr>
              <w:t xml:space="preserve">Czy kryteria pozwalały na wybór najlepszych projektów (spójnych z celami LSR)? </w:t>
            </w:r>
          </w:p>
          <w:p>
            <w:pPr>
              <w:pStyle w:val="Default"/>
              <w:rPr>
                <w:sz w:val="20"/>
                <w:szCs w:val="20"/>
              </w:rPr>
            </w:pPr>
            <w:r>
              <w:rPr>
                <w:sz w:val="20"/>
                <w:szCs w:val="20"/>
              </w:rPr>
            </w:r>
          </w:p>
          <w:p>
            <w:pPr>
              <w:pStyle w:val="Default"/>
              <w:rPr>
                <w:sz w:val="20"/>
                <w:szCs w:val="20"/>
              </w:rPr>
            </w:pPr>
            <w:r>
              <w:rPr>
                <w:sz w:val="20"/>
                <w:szCs w:val="20"/>
              </w:rPr>
              <w:t xml:space="preserve">Czy przyjęty system wskaźników pozwalał na zebranie wystarczających informacji o procesie realizacji LSR i jej rezultatach? </w:t>
            </w:r>
          </w:p>
          <w:p>
            <w:pPr>
              <w:pStyle w:val="Default"/>
              <w:rPr>
                <w:sz w:val="20"/>
                <w:szCs w:val="20"/>
              </w:rPr>
            </w:pPr>
            <w:r>
              <w:rPr>
                <w:sz w:val="20"/>
                <w:szCs w:val="20"/>
              </w:rPr>
            </w:r>
          </w:p>
          <w:p>
            <w:pPr>
              <w:pStyle w:val="Default"/>
              <w:rPr>
                <w:sz w:val="20"/>
                <w:szCs w:val="20"/>
              </w:rPr>
            </w:pPr>
            <w:r>
              <w:rPr>
                <w:sz w:val="20"/>
                <w:szCs w:val="20"/>
              </w:rPr>
              <w:t>Jaki jest stopień osiągnięcia celu głównego i przypisanych do niego wskaźników LSR?</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Jaki jest wpływ LSR na kapitał społeczny, w tym w szczególności na aktywność społeczną, zaangażowanie w sprawy lokalne? </w:t>
            </w:r>
          </w:p>
          <w:p>
            <w:pPr>
              <w:pStyle w:val="Default"/>
              <w:rPr>
                <w:sz w:val="20"/>
                <w:szCs w:val="20"/>
              </w:rPr>
            </w:pPr>
            <w:r>
              <w:rPr>
                <w:sz w:val="20"/>
                <w:szCs w:val="20"/>
              </w:rPr>
            </w:r>
          </w:p>
          <w:p>
            <w:pPr>
              <w:pStyle w:val="Default"/>
              <w:rPr>
                <w:sz w:val="20"/>
                <w:szCs w:val="20"/>
              </w:rPr>
            </w:pPr>
            <w:r>
              <w:rPr>
                <w:sz w:val="20"/>
                <w:szCs w:val="20"/>
              </w:rPr>
              <w:t xml:space="preserve">W jaki sposób należałoby wspierać rozwój kapitału społecznego w przyszłości? </w:t>
            </w:r>
          </w:p>
          <w:p>
            <w:pPr>
              <w:pStyle w:val="Default"/>
              <w:rPr>
                <w:sz w:val="20"/>
                <w:szCs w:val="20"/>
              </w:rPr>
            </w:pPr>
            <w:r>
              <w:rPr>
                <w:sz w:val="20"/>
                <w:szCs w:val="20"/>
              </w:rPr>
            </w:r>
          </w:p>
          <w:p>
            <w:pPr>
              <w:pStyle w:val="Default"/>
              <w:rPr>
                <w:sz w:val="20"/>
                <w:szCs w:val="20"/>
              </w:rPr>
            </w:pPr>
            <w:r>
              <w:rPr>
                <w:sz w:val="20"/>
                <w:szCs w:val="20"/>
              </w:rPr>
              <w:t xml:space="preserve">W jakim stopniu realizacja LSR przyczyniła się do rozwoju przedsiębiorczości? </w:t>
            </w:r>
          </w:p>
          <w:p>
            <w:pPr>
              <w:pStyle w:val="Default"/>
              <w:rPr>
                <w:sz w:val="20"/>
                <w:szCs w:val="20"/>
              </w:rPr>
            </w:pPr>
            <w:r>
              <w:rPr>
                <w:sz w:val="20"/>
                <w:szCs w:val="20"/>
              </w:rPr>
              <w:t xml:space="preserve">Czy i w jaki sposób </w:t>
            </w:r>
          </w:p>
          <w:p>
            <w:pPr>
              <w:pStyle w:val="Default"/>
              <w:rPr>
                <w:sz w:val="20"/>
                <w:szCs w:val="20"/>
              </w:rPr>
            </w:pPr>
            <w:r>
              <w:rPr>
                <w:sz w:val="20"/>
                <w:szCs w:val="20"/>
              </w:rPr>
              <w:t xml:space="preserve">wspieranie przedsiębiorczości w ramach kolejnych edycji LSR jest wskazane? </w:t>
            </w:r>
          </w:p>
          <w:p>
            <w:pPr>
              <w:pStyle w:val="Default"/>
              <w:rPr>
                <w:sz w:val="20"/>
                <w:szCs w:val="20"/>
              </w:rPr>
            </w:pPr>
            <w:r>
              <w:rPr>
                <w:sz w:val="20"/>
                <w:szCs w:val="20"/>
              </w:rPr>
            </w:r>
          </w:p>
          <w:p>
            <w:pPr>
              <w:pStyle w:val="Default"/>
              <w:rPr>
                <w:sz w:val="20"/>
                <w:szCs w:val="20"/>
              </w:rPr>
            </w:pPr>
            <w:r>
              <w:rPr>
                <w:sz w:val="20"/>
                <w:szCs w:val="20"/>
              </w:rPr>
              <w:t>W jakim stopniu LSR przyczyniła się do budowania lokalnego potencjału w zakresie turystyki i rekreacji?</w:t>
            </w:r>
          </w:p>
          <w:p>
            <w:pPr>
              <w:pStyle w:val="Default"/>
              <w:rPr>
                <w:sz w:val="20"/>
                <w:szCs w:val="20"/>
              </w:rPr>
            </w:pPr>
            <w:r>
              <w:rPr>
                <w:sz w:val="20"/>
                <w:szCs w:val="20"/>
              </w:rPr>
            </w:r>
          </w:p>
          <w:p>
            <w:pPr>
              <w:pStyle w:val="Default"/>
              <w:rPr>
                <w:sz w:val="20"/>
                <w:szCs w:val="20"/>
              </w:rPr>
            </w:pPr>
            <w:r>
              <w:rPr>
                <w:sz w:val="20"/>
                <w:szCs w:val="20"/>
              </w:rPr>
              <w:t xml:space="preserve">W jakich kierunkach należy wspierać rozwój lokalnego potencjału turystycznego? </w:t>
            </w:r>
          </w:p>
          <w:p>
            <w:pPr>
              <w:pStyle w:val="Default"/>
              <w:rPr>
                <w:sz w:val="20"/>
                <w:szCs w:val="20"/>
              </w:rPr>
            </w:pPr>
            <w:r>
              <w:rPr>
                <w:sz w:val="20"/>
                <w:szCs w:val="20"/>
              </w:rPr>
            </w:r>
          </w:p>
          <w:p>
            <w:pPr>
              <w:pStyle w:val="Default"/>
              <w:rPr>
                <w:sz w:val="20"/>
                <w:szCs w:val="20"/>
              </w:rPr>
            </w:pPr>
            <w:r>
              <w:rPr>
                <w:sz w:val="20"/>
                <w:szCs w:val="20"/>
              </w:rPr>
              <w:t>Czy w LSR właściwie zdefiniowano grupy defaworyzowane oraz czy realizowane w ramach LSR działania od-powiadały na potrzeby tych grup?</w:t>
            </w:r>
          </w:p>
          <w:p>
            <w:pPr>
              <w:pStyle w:val="Default"/>
              <w:rPr>
                <w:sz w:val="20"/>
                <w:szCs w:val="20"/>
              </w:rPr>
            </w:pPr>
            <w:r>
              <w:rPr>
                <w:sz w:val="20"/>
                <w:szCs w:val="20"/>
              </w:rPr>
            </w:r>
          </w:p>
          <w:p>
            <w:pPr>
              <w:pStyle w:val="Default"/>
              <w:rPr>
                <w:sz w:val="20"/>
                <w:szCs w:val="20"/>
              </w:rPr>
            </w:pPr>
            <w:r>
              <w:rPr>
                <w:sz w:val="20"/>
                <w:szCs w:val="20"/>
              </w:rPr>
              <w:t>Jaki był wpływ LSR na poziom ubóstwa i wykluczenia społecznego?</w:t>
            </w:r>
          </w:p>
          <w:p>
            <w:pPr>
              <w:pStyle w:val="Default"/>
              <w:rPr>
                <w:sz w:val="20"/>
                <w:szCs w:val="20"/>
              </w:rPr>
            </w:pPr>
            <w:r>
              <w:rPr>
                <w:sz w:val="20"/>
                <w:szCs w:val="20"/>
              </w:rPr>
            </w:r>
          </w:p>
          <w:p>
            <w:pPr>
              <w:pStyle w:val="Default"/>
              <w:rPr>
                <w:sz w:val="20"/>
                <w:szCs w:val="20"/>
              </w:rPr>
            </w:pPr>
            <w:r>
              <w:rPr>
                <w:sz w:val="20"/>
                <w:szCs w:val="20"/>
              </w:rPr>
              <w:t>Jakie działania należy podejmować w skali lokalnej na rzecz ograniczenia ubóstwa i wykluczenia społecznego?</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W jakim stopniu projekty realizowane w ramach LSR były innowacyjne? </w:t>
            </w:r>
          </w:p>
          <w:p>
            <w:pPr>
              <w:pStyle w:val="Default"/>
              <w:rPr>
                <w:sz w:val="20"/>
                <w:szCs w:val="20"/>
              </w:rPr>
            </w:pPr>
            <w:r>
              <w:rPr>
                <w:sz w:val="20"/>
                <w:szCs w:val="20"/>
              </w:rPr>
            </w:r>
          </w:p>
          <w:p>
            <w:pPr>
              <w:pStyle w:val="Default"/>
              <w:rPr>
                <w:sz w:val="20"/>
                <w:szCs w:val="20"/>
              </w:rPr>
            </w:pPr>
            <w:r>
              <w:rPr>
                <w:sz w:val="20"/>
                <w:szCs w:val="20"/>
              </w:rPr>
              <w:t xml:space="preserve">Jakie można wyróżnić typy innowacji powstałych w ramach LSR? </w:t>
            </w:r>
          </w:p>
          <w:p>
            <w:pPr>
              <w:pStyle w:val="Default"/>
              <w:rPr>
                <w:sz w:val="20"/>
                <w:szCs w:val="20"/>
              </w:rPr>
            </w:pPr>
            <w:r>
              <w:rPr>
                <w:sz w:val="20"/>
                <w:szCs w:val="20"/>
              </w:rPr>
            </w:r>
          </w:p>
          <w:p>
            <w:pPr>
              <w:pStyle w:val="Default"/>
              <w:rPr>
                <w:sz w:val="20"/>
                <w:szCs w:val="20"/>
              </w:rPr>
            </w:pPr>
            <w:r>
              <w:rPr>
                <w:sz w:val="20"/>
                <w:szCs w:val="20"/>
              </w:rPr>
              <w:t xml:space="preserve">Jaka była skuteczność i efekty działania wdrażania projektów współpracy? </w:t>
            </w:r>
          </w:p>
          <w:p>
            <w:pPr>
              <w:pStyle w:val="Default"/>
              <w:rPr>
                <w:sz w:val="20"/>
                <w:szCs w:val="20"/>
              </w:rPr>
            </w:pPr>
            <w:r>
              <w:rPr>
                <w:sz w:val="20"/>
                <w:szCs w:val="20"/>
              </w:rPr>
            </w:r>
          </w:p>
          <w:p>
            <w:pPr>
              <w:pStyle w:val="Default"/>
              <w:rPr>
                <w:sz w:val="20"/>
                <w:szCs w:val="20"/>
              </w:rPr>
            </w:pPr>
            <w:r>
              <w:rPr>
                <w:sz w:val="20"/>
                <w:szCs w:val="20"/>
              </w:rPr>
              <w:t xml:space="preserve">Jaką formę i zakres powinny przyjmować projekty współpracy w przyszłości? </w:t>
            </w:r>
          </w:p>
          <w:p>
            <w:pPr>
              <w:pStyle w:val="Default"/>
              <w:rPr>
                <w:sz w:val="20"/>
                <w:szCs w:val="20"/>
              </w:rPr>
            </w:pPr>
            <w:r>
              <w:rPr>
                <w:sz w:val="20"/>
                <w:szCs w:val="20"/>
              </w:rPr>
            </w:r>
          </w:p>
          <w:p>
            <w:pPr>
              <w:pStyle w:val="Default"/>
              <w:rPr>
                <w:b/>
                <w:b/>
                <w:sz w:val="20"/>
                <w:szCs w:val="20"/>
              </w:rPr>
            </w:pPr>
            <w:r>
              <w:rPr>
                <w:b/>
                <w:sz w:val="20"/>
                <w:szCs w:val="20"/>
              </w:rPr>
              <w:t xml:space="preserve">Wartość dodana podejścia LEADER: </w:t>
            </w:r>
          </w:p>
          <w:p>
            <w:pPr>
              <w:pStyle w:val="Default"/>
              <w:rPr>
                <w:sz w:val="20"/>
                <w:szCs w:val="20"/>
              </w:rPr>
            </w:pPr>
            <w:r>
              <w:rPr>
                <w:sz w:val="20"/>
                <w:szCs w:val="20"/>
              </w:rPr>
              <w:t>Czy działalność LGD wpływa na poprawę komunikacji pomiędzy różnymi aktorami, budowanie powiązań między nimi i sieciowanie?</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t xml:space="preserve">Czy stworzony dzięki wsparciu w ramach LSR potencjał rozwojowy jest w dostateczny sposób wykorzystywany i promowany? </w:t>
            </w:r>
          </w:p>
          <w:p>
            <w:pPr>
              <w:pStyle w:val="Default"/>
              <w:rPr>
                <w:sz w:val="20"/>
                <w:szCs w:val="20"/>
              </w:rPr>
            </w:pPr>
            <w:r>
              <w:rPr>
                <w:sz w:val="20"/>
                <w:szCs w:val="20"/>
              </w:rPr>
            </w:r>
          </w:p>
          <w:p>
            <w:pPr>
              <w:pStyle w:val="Default"/>
              <w:rPr>
                <w:sz w:val="20"/>
                <w:szCs w:val="20"/>
              </w:rPr>
            </w:pPr>
            <w:r>
              <w:rPr>
                <w:sz w:val="20"/>
                <w:szCs w:val="20"/>
              </w:rPr>
              <w:t xml:space="preserve">Czy projekty realizowane w ramach LSR są spójne ze zidentyfikowanym potencjałem rozwojowym obszaru objętego LSR i czy te projekty przyczyniają się do jego wzmocnienia? </w:t>
            </w:r>
          </w:p>
          <w:p>
            <w:pPr>
              <w:pStyle w:val="Default"/>
              <w:rPr>
                <w:sz w:val="20"/>
                <w:szCs w:val="20"/>
              </w:rPr>
            </w:pPr>
            <w:r>
              <w:rPr>
                <w:sz w:val="20"/>
                <w:szCs w:val="20"/>
              </w:rPr>
            </w:r>
          </w:p>
          <w:p>
            <w:pPr>
              <w:pStyle w:val="Default"/>
              <w:rPr>
                <w:sz w:val="20"/>
                <w:szCs w:val="20"/>
              </w:rPr>
            </w:pPr>
            <w:r>
              <w:rPr>
                <w:sz w:val="20"/>
                <w:szCs w:val="20"/>
              </w:rPr>
              <w:t xml:space="preserve">Czy przeprowadzone w ramach LSR inwestycje są komplementarne względem siebie lub względem wiodącego projektu/tematu określonego w LSR </w:t>
            </w:r>
          </w:p>
          <w:p>
            <w:pPr>
              <w:pStyle w:val="Default"/>
              <w:spacing w:before="60" w:after="0"/>
              <w:rPr>
                <w:sz w:val="20"/>
                <w:szCs w:val="20"/>
              </w:rPr>
            </w:pPr>
            <w:r>
              <w:rPr>
                <w:sz w:val="20"/>
                <w:szCs w:val="20"/>
              </w:rPr>
            </w:r>
          </w:p>
        </w:tc>
        <w:tc>
          <w:tcPr>
            <w:tcW w:w="1602"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 xml:space="preserve">Zewnętrzni, niezależni eksperci (ewaluacja zewnętrzna) </w:t>
            </w:r>
          </w:p>
          <w:p>
            <w:pPr>
              <w:pStyle w:val="Default"/>
              <w:spacing w:before="60" w:after="0"/>
              <w:rPr>
                <w:sz w:val="20"/>
                <w:szCs w:val="20"/>
              </w:rPr>
            </w:pPr>
            <w:r>
              <w:rPr>
                <w:sz w:val="20"/>
                <w:szCs w:val="20"/>
              </w:rPr>
              <w:t xml:space="preserve">Pracownicy Biura LGD, Zarząd, Rada LGD i fakultatywnie zaproszeni przedstawiciele beneficjantów, samorządu województwa lub innych LGD (ewaluacja wewnętrzna) </w:t>
            </w:r>
          </w:p>
        </w:tc>
        <w:tc>
          <w:tcPr>
            <w:tcW w:w="1703"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 xml:space="preserve">Analiza dokumentów z monitoringu </w:t>
            </w:r>
          </w:p>
          <w:p>
            <w:pPr>
              <w:pStyle w:val="Default"/>
              <w:spacing w:before="60" w:after="0"/>
              <w:rPr>
                <w:sz w:val="20"/>
                <w:szCs w:val="20"/>
              </w:rPr>
            </w:pPr>
            <w:r>
              <w:rPr>
                <w:sz w:val="20"/>
                <w:szCs w:val="20"/>
              </w:rPr>
              <w:t xml:space="preserve">Wywiady IDI z kierownictwem LGD i pracownikami biura </w:t>
            </w:r>
          </w:p>
          <w:p>
            <w:pPr>
              <w:pStyle w:val="Default"/>
              <w:spacing w:before="60" w:after="0"/>
              <w:rPr>
                <w:sz w:val="20"/>
                <w:szCs w:val="20"/>
              </w:rPr>
            </w:pPr>
            <w:r>
              <w:rPr>
                <w:sz w:val="20"/>
                <w:szCs w:val="20"/>
              </w:rPr>
              <w:t xml:space="preserve">Wywiady FGI z przedstawicielami organizacji pozarządowych </w:t>
            </w:r>
          </w:p>
          <w:p>
            <w:pPr>
              <w:pStyle w:val="Default"/>
              <w:spacing w:before="60" w:after="0"/>
              <w:rPr>
                <w:sz w:val="20"/>
                <w:szCs w:val="20"/>
              </w:rPr>
            </w:pPr>
            <w:r>
              <w:rPr>
                <w:sz w:val="20"/>
                <w:szCs w:val="20"/>
              </w:rPr>
              <w:t xml:space="preserve">Ankiety CAWI z grupami interesariuszy </w:t>
            </w:r>
          </w:p>
        </w:tc>
        <w:tc>
          <w:tcPr>
            <w:tcW w:w="1562" w:type="dxa"/>
            <w:tcBorders>
              <w:top w:val="single" w:sz="4" w:space="0" w:color="000000"/>
              <w:left w:val="single" w:sz="4" w:space="0" w:color="000000"/>
              <w:bottom w:val="single" w:sz="4" w:space="0" w:color="000000"/>
              <w:right w:val="single" w:sz="4" w:space="0" w:color="000000"/>
            </w:tcBorders>
          </w:tcPr>
          <w:p>
            <w:pPr>
              <w:pStyle w:val="Default"/>
              <w:spacing w:before="60" w:after="0"/>
              <w:rPr/>
            </w:pPr>
            <w:r>
              <w:rPr>
                <w:sz w:val="20"/>
                <w:szCs w:val="20"/>
              </w:rPr>
              <w:t xml:space="preserve">Od 2018 r. co roku (ewaluacja wewnętrzna) oraz w latach 2020-2022 na zakończenie okresu programowania (za całość okresu programowania) jednokrotna ewaluacja zewnętrzna </w:t>
            </w:r>
          </w:p>
        </w:tc>
        <w:tc>
          <w:tcPr>
            <w:tcW w:w="2836" w:type="dxa"/>
            <w:tcBorders>
              <w:top w:val="single" w:sz="4" w:space="0" w:color="000000"/>
              <w:left w:val="single" w:sz="4" w:space="0" w:color="000000"/>
              <w:bottom w:val="single" w:sz="4" w:space="0" w:color="000000"/>
              <w:right w:val="single" w:sz="4" w:space="0" w:color="000000"/>
            </w:tcBorders>
          </w:tcPr>
          <w:p>
            <w:pPr>
              <w:pStyle w:val="Default"/>
              <w:spacing w:before="60" w:after="0"/>
              <w:rPr>
                <w:sz w:val="20"/>
                <w:szCs w:val="20"/>
              </w:rPr>
            </w:pPr>
            <w:r>
              <w:rPr>
                <w:sz w:val="20"/>
                <w:szCs w:val="20"/>
              </w:rPr>
              <w:t xml:space="preserve">Stopień realizacji budżetu </w:t>
            </w:r>
          </w:p>
          <w:p>
            <w:pPr>
              <w:pStyle w:val="Default"/>
              <w:spacing w:before="60" w:after="0"/>
              <w:rPr>
                <w:sz w:val="20"/>
                <w:szCs w:val="20"/>
              </w:rPr>
            </w:pPr>
            <w:r>
              <w:rPr>
                <w:sz w:val="20"/>
                <w:szCs w:val="20"/>
              </w:rPr>
              <w:t xml:space="preserve">Zgodność z harmonogramem ogłaszania konkursów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Klarowność i zrozumiałość kryteriów i procedur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Wpływ kryteriów wyboru projektów na wybór projektów spójnych z celami LSR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Prawidłowość przyjętego systemu wskaźników pod względem gromadzenia informacji o procesie realizacji LSR i jej rezultatach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Stopień osiągnięcia celu głównego i przypisanych do niego wskaźników LSR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Poziom kapitału społecznego i efektywność działań wspomagających budowanie tego kapitału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Wpływ LSR na rozwój przedsiębiorczości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Wpływ LSR na budowanie lokalnego potencjału w zakresie turystyki i rekreacji</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Prawidłowość identyfikacji grup defaworyzowanych i adekwatność działań LSR do potrzeb tych grup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Ocena innowacyjności projektów realizowanych w ramach LSR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Ocena skuteczności i efektów wdrażanych projektów współpracy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Wpływ LGD na poprawę komunikacji pomiędzy różnymi aktorami, budowanie powiązań między nimi i sieciowanie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Poziom wykorzystania stworzonego w ramach LSR potencjału rozwojowego </w:t>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 xml:space="preserve">Spójność realizowanych projektów ze zidentyfikowanym potencjałem rozwojowym obszaru objętego LSR </w:t>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r>
          </w:p>
          <w:p>
            <w:pPr>
              <w:pStyle w:val="Default"/>
              <w:spacing w:before="60" w:after="0"/>
              <w:rPr>
                <w:sz w:val="20"/>
                <w:szCs w:val="20"/>
              </w:rPr>
            </w:pPr>
            <w:r>
              <w:rPr>
                <w:sz w:val="20"/>
                <w:szCs w:val="20"/>
              </w:rPr>
              <w:t xml:space="preserve">Komplementarność zrealizowanych inwestycji względem siebie lub wiodącego tematu określonego w LSR </w:t>
            </w:r>
          </w:p>
        </w:tc>
      </w:tr>
      <w:tr>
        <w:trPr>
          <w:trHeight w:val="101" w:hRule="atLeast"/>
        </w:trPr>
        <w:tc>
          <w:tcPr>
            <w:tcW w:w="9606" w:type="dxa"/>
            <w:gridSpan w:val="6"/>
            <w:tcBorders>
              <w:top w:val="single" w:sz="4" w:space="0" w:color="000000"/>
              <w:left w:val="single" w:sz="4" w:space="0" w:color="000000"/>
              <w:bottom w:val="single" w:sz="4" w:space="0" w:color="000000"/>
              <w:right w:val="single" w:sz="4" w:space="0" w:color="000000"/>
            </w:tcBorders>
            <w:shd w:fill="8EAADB" w:val="clear"/>
          </w:tcPr>
          <w:p>
            <w:pPr>
              <w:pStyle w:val="Normal"/>
              <w:autoSpaceDE w:val="false"/>
              <w:snapToGrid w:val="false"/>
              <w:spacing w:lineRule="auto" w:line="240" w:before="0" w:after="0"/>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p>
            <w:pPr>
              <w:pStyle w:val="Normal"/>
              <w:autoSpaceDE w:val="false"/>
              <w:spacing w:lineRule="auto" w:line="240" w:before="0" w:after="0"/>
              <w:jc w:val="center"/>
              <w:rPr>
                <w:rFonts w:ascii="Times New Roman" w:hAnsi="Times New Roman" w:cs="Times New Roman"/>
                <w:b/>
                <w:b/>
                <w:bCs/>
                <w:color w:val="000000"/>
                <w:sz w:val="20"/>
                <w:szCs w:val="20"/>
              </w:rPr>
            </w:pPr>
            <w:r>
              <w:rPr>
                <w:rFonts w:cs="Times New Roman" w:ascii="Times New Roman" w:hAnsi="Times New Roman"/>
                <w:b/>
                <w:bCs/>
                <w:color w:val="000000"/>
                <w:sz w:val="20"/>
                <w:szCs w:val="20"/>
              </w:rPr>
              <w:t>Ewaluacja funkcjonowania LGD i biura LGD</w:t>
            </w:r>
          </w:p>
          <w:p>
            <w:pPr>
              <w:pStyle w:val="Normal"/>
              <w:autoSpaceDE w:val="false"/>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b/>
                <w:bCs/>
                <w:color w:val="000000"/>
                <w:sz w:val="20"/>
                <w:szCs w:val="20"/>
              </w:rPr>
              <w:t xml:space="preserve"> </w:t>
            </w:r>
          </w:p>
        </w:tc>
      </w:tr>
      <w:tr>
        <w:trPr>
          <w:trHeight w:val="348" w:hRule="atLeast"/>
        </w:trPr>
        <w:tc>
          <w:tcPr>
            <w:tcW w:w="1871"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Czy sposób działania partnerstwa, w tym aktywność </w:t>
            </w:r>
          </w:p>
          <w:p>
            <w:pPr>
              <w:pStyle w:val="Default"/>
              <w:rPr>
                <w:sz w:val="20"/>
                <w:szCs w:val="20"/>
              </w:rPr>
            </w:pPr>
            <w:r>
              <w:rPr>
                <w:sz w:val="20"/>
                <w:szCs w:val="20"/>
              </w:rPr>
              <w:t xml:space="preserve">poszczególnych partnerów (sekto-rów wchodzących w skład partnerstwa) pozwalał na efektywną i skuteczną realizację LSR? </w:t>
            </w:r>
          </w:p>
          <w:p>
            <w:pPr>
              <w:pStyle w:val="Default"/>
              <w:rPr>
                <w:sz w:val="20"/>
                <w:szCs w:val="20"/>
              </w:rPr>
            </w:pPr>
            <w:r>
              <w:rPr>
                <w:sz w:val="20"/>
                <w:szCs w:val="20"/>
              </w:rPr>
              <w:t>Czy procedury postępowania i podejmowania decyzji przez Rade LGD są efektywne, przejrzyste?</w:t>
            </w:r>
          </w:p>
          <w:p>
            <w:pPr>
              <w:pStyle w:val="Default"/>
              <w:rPr>
                <w:rFonts w:eastAsia="Times New Roman"/>
                <w:sz w:val="20"/>
                <w:szCs w:val="20"/>
              </w:rPr>
            </w:pPr>
            <w:r>
              <w:rPr>
                <w:rFonts w:eastAsia="Times New Roman"/>
                <w:sz w:val="20"/>
                <w:szCs w:val="20"/>
              </w:rPr>
              <w:t xml:space="preserve"> </w:t>
            </w:r>
          </w:p>
          <w:p>
            <w:pPr>
              <w:pStyle w:val="Default"/>
              <w:rPr>
                <w:sz w:val="20"/>
                <w:szCs w:val="20"/>
              </w:rPr>
            </w:pPr>
            <w:r>
              <w:rPr>
                <w:sz w:val="20"/>
                <w:szCs w:val="20"/>
              </w:rPr>
            </w:r>
          </w:p>
          <w:p>
            <w:pPr>
              <w:pStyle w:val="Default"/>
              <w:rPr>
                <w:sz w:val="20"/>
                <w:szCs w:val="20"/>
              </w:rPr>
            </w:pPr>
            <w:r>
              <w:rPr>
                <w:sz w:val="20"/>
                <w:szCs w:val="20"/>
              </w:rPr>
              <w:t xml:space="preserve">Jaka jest skuteczność i efektywność działań biura LGD (animacyjnych, informacyjno-promocyjnych, doradczych? </w:t>
            </w:r>
          </w:p>
          <w:p>
            <w:pPr>
              <w:pStyle w:val="Default"/>
              <w:rPr>
                <w:sz w:val="20"/>
                <w:szCs w:val="20"/>
              </w:rPr>
            </w:pPr>
            <w:r>
              <w:rPr>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t>Skuteczność w docieraniu do mieszkańców poprzez stronę internetową</w:t>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Zadowolenie ze szkoleń przeprowadzanych przez LGD</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60" w:after="0"/>
              <w:rPr>
                <w:rFonts w:ascii="Times New Roman" w:hAnsi="Times New Roman" w:cs="Times New Roman"/>
                <w:sz w:val="20"/>
                <w:szCs w:val="20"/>
              </w:rPr>
            </w:pPr>
            <w:r>
              <w:rPr>
                <w:rFonts w:cs="Times New Roman" w:ascii="Times New Roman" w:hAnsi="Times New Roman"/>
                <w:sz w:val="20"/>
                <w:szCs w:val="20"/>
              </w:rPr>
              <w:t>Zadowolenie z  wydarzeń organizowanych przez LGD</w:t>
            </w:r>
          </w:p>
          <w:p>
            <w:pPr>
              <w:pStyle w:val="Default"/>
              <w:rPr>
                <w:rFonts w:ascii="Times New Roman" w:hAnsi="Times New Roman" w:cs="Times New Roman"/>
                <w:sz w:val="20"/>
                <w:szCs w:val="20"/>
              </w:rPr>
            </w:pPr>
            <w:r>
              <w:rPr>
                <w:rFonts w:cs="Times New Roman"/>
                <w:sz w:val="20"/>
                <w:szCs w:val="20"/>
              </w:rPr>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sz w:val="20"/>
                <w:szCs w:val="20"/>
              </w:rPr>
              <w:t xml:space="preserve">Jakie zmiany należy wprowadzić w działaniach LGD by skuteczniej realizowała LSR? </w:t>
            </w:r>
          </w:p>
        </w:tc>
        <w:tc>
          <w:tcPr>
            <w:tcW w:w="1634"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Zewnętrzni, niezależni eksperci </w:t>
            </w:r>
          </w:p>
          <w:p>
            <w:pPr>
              <w:pStyle w:val="Default"/>
              <w:rPr>
                <w:sz w:val="20"/>
                <w:szCs w:val="20"/>
              </w:rPr>
            </w:pPr>
            <w:r>
              <w:rPr>
                <w:sz w:val="20"/>
                <w:szCs w:val="20"/>
              </w:rPr>
              <w:t xml:space="preserve">(ewaluacja ocena zewnętrzna) </w:t>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sz w:val="20"/>
                <w:szCs w:val="20"/>
              </w:rPr>
              <w:t xml:space="preserve">Pracownicy Biura LGD, Zarząd, Rada LGD i fakultatywnie zaproszeni przedstawiciele beneficjantów, samorządu województwa lub innych LGD (ewaluacja wewnętrzna) </w:t>
            </w:r>
          </w:p>
        </w:tc>
        <w:tc>
          <w:tcPr>
            <w:tcW w:w="1703"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Analiza dokumentów z monitoringu </w:t>
            </w:r>
          </w:p>
          <w:p>
            <w:pPr>
              <w:pStyle w:val="Default"/>
              <w:rPr>
                <w:sz w:val="20"/>
                <w:szCs w:val="20"/>
              </w:rPr>
            </w:pPr>
            <w:r>
              <w:rPr>
                <w:sz w:val="20"/>
                <w:szCs w:val="20"/>
              </w:rPr>
              <w:t xml:space="preserve">Wywiady IDI z kierownictwem LGD i pracownikami biura </w:t>
            </w:r>
          </w:p>
          <w:p>
            <w:pPr>
              <w:pStyle w:val="Default"/>
              <w:rPr>
                <w:sz w:val="20"/>
                <w:szCs w:val="20"/>
              </w:rPr>
            </w:pPr>
            <w:r>
              <w:rPr>
                <w:sz w:val="20"/>
                <w:szCs w:val="20"/>
              </w:rPr>
              <w:t xml:space="preserve">Ankiety CAWI z beneficjentami i wnioskodawcami </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Zogniskowany wywiad grupowy z beneficjentami i wnioskodawcami</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licznik wejść na stronę</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opinie wnioskodawców uzyskane na podstawie wywiadów,</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ankiety wypełniane przez uczestników szkoleń</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sz w:val="20"/>
                <w:szCs w:val="20"/>
              </w:rPr>
            </w:pPr>
            <w:r>
              <w:rPr>
                <w:rFonts w:cs="Times New Roman" w:ascii="Times New Roman" w:hAnsi="Times New Roman"/>
                <w:sz w:val="20"/>
                <w:szCs w:val="20"/>
              </w:rPr>
              <w:t>Wywiad z uczestnikami wydarzenia podczas jego trwania</w:t>
            </w:r>
          </w:p>
          <w:p>
            <w:pPr>
              <w:pStyle w:val="Normal"/>
              <w:autoSpaceDE w:val="false"/>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sz w:val="20"/>
                <w:szCs w:val="20"/>
              </w:rPr>
              <w:t xml:space="preserve"> </w:t>
            </w:r>
          </w:p>
        </w:tc>
        <w:tc>
          <w:tcPr>
            <w:tcW w:w="1562"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Od 2018 r. co roku ewaluacja </w:t>
            </w:r>
          </w:p>
          <w:p>
            <w:pPr>
              <w:pStyle w:val="Default"/>
              <w:rPr>
                <w:sz w:val="20"/>
                <w:szCs w:val="20"/>
              </w:rPr>
            </w:pPr>
            <w:r>
              <w:rPr>
                <w:sz w:val="20"/>
                <w:szCs w:val="20"/>
              </w:rPr>
              <w:t xml:space="preserve">wewnętrzna oraz w latach 2021-2022 na zakończenie okresu programowania (za całość okresu programowania) jednokrotna ewaluacja zewnętrzna </w:t>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836"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 xml:space="preserve">Wpływ działania partnerstwa na efektywną i skuteczną realizację LSR </w:t>
            </w:r>
          </w:p>
          <w:p>
            <w:pPr>
              <w:pStyle w:val="Default"/>
              <w:rPr>
                <w:rFonts w:ascii="Times New Roman" w:hAnsi="Times New Roman" w:cs="Times New Roman"/>
                <w:color w:val="000000"/>
                <w:sz w:val="20"/>
                <w:szCs w:val="20"/>
              </w:rPr>
            </w:pPr>
            <w:r>
              <w:rPr>
                <w:rFonts w:cs="Times New Roman"/>
                <w:color w:val="000000"/>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r>
          </w:p>
          <w:p>
            <w:pPr>
              <w:pStyle w:val="Default"/>
              <w:rPr>
                <w:sz w:val="20"/>
                <w:szCs w:val="20"/>
              </w:rPr>
            </w:pPr>
            <w:r>
              <w:rPr>
                <w:sz w:val="20"/>
                <w:szCs w:val="20"/>
              </w:rPr>
              <w:t>Efektywność i przejrzystość procedur postępowania i podejmowania decyzji przez Radę,</w:t>
            </w:r>
          </w:p>
          <w:p>
            <w:pPr>
              <w:pStyle w:val="Default"/>
              <w:rPr>
                <w:sz w:val="20"/>
                <w:szCs w:val="20"/>
              </w:rPr>
            </w:pPr>
            <w:r>
              <w:rPr>
                <w:sz w:val="20"/>
                <w:szCs w:val="20"/>
              </w:rPr>
              <w:t>Uczestnictwo w posiedzeniach,</w:t>
            </w:r>
          </w:p>
          <w:p>
            <w:pPr>
              <w:pStyle w:val="Default"/>
              <w:rPr>
                <w:sz w:val="20"/>
                <w:szCs w:val="20"/>
              </w:rPr>
            </w:pPr>
            <w:r>
              <w:rPr>
                <w:sz w:val="20"/>
                <w:szCs w:val="20"/>
              </w:rPr>
              <w:t xml:space="preserve">Realizacja LSR zgodnie z harmonogramem </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pPr>
            <w:r>
              <w:rPr>
                <w:rFonts w:cs="Times New Roman" w:ascii="Times New Roman" w:hAnsi="Times New Roman"/>
                <w:sz w:val="20"/>
                <w:szCs w:val="20"/>
              </w:rPr>
              <w:t>Skuteczność i efektywność działań biura LGD</w:t>
            </w:r>
            <w:r>
              <w:rPr/>
              <w:t>,</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Rzetelne i terminowe wypełnianie obowiązków wskazanych w umowie,</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Kreatywne podejście do powierzonych zadań</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czytelność strony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aktualizacja strony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jakość zamieszczanych artykułów</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sz w:val="20"/>
                <w:szCs w:val="20"/>
              </w:rPr>
            </w:pPr>
            <w:r>
              <w:rPr>
                <w:rFonts w:cs="Times New Roman" w:ascii="Times New Roman" w:hAnsi="Times New Roman"/>
                <w:sz w:val="20"/>
                <w:szCs w:val="20"/>
              </w:rPr>
              <w:t>merytoryka szkolenia, stopień przydatności uzyskanych informacji</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sz w:val="20"/>
                <w:szCs w:val="20"/>
              </w:rPr>
            </w:pPr>
            <w:r>
              <w:rPr>
                <w:rFonts w:cs="Times New Roman" w:ascii="Times New Roman" w:hAnsi="Times New Roman"/>
                <w:sz w:val="20"/>
                <w:szCs w:val="20"/>
              </w:rPr>
              <w:t>trafność terminu, lokalizacji, formuły, przygotowania wydarzenia od strony logistycznej, promocji</w:t>
            </w:r>
          </w:p>
          <w:p>
            <w:pPr>
              <w:pStyle w:val="Normal"/>
              <w:autoSpaceDE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r>
          </w:p>
        </w:tc>
      </w:tr>
    </w:tbl>
    <w:p>
      <w:pPr>
        <w:sectPr>
          <w:headerReference w:type="default" r:id="rId21"/>
          <w:footerReference w:type="default" r:id="rId22"/>
          <w:footnotePr>
            <w:numFmt w:val="decimal"/>
          </w:footnotePr>
          <w:type w:val="nextPage"/>
          <w:pgSz w:w="11906" w:h="16838"/>
          <w:pgMar w:left="851" w:right="566" w:gutter="0" w:header="0" w:top="1417" w:footer="283" w:bottom="1417"/>
          <w:pgNumType w:fmt="decimal"/>
          <w:formProt w:val="false"/>
          <w:textDirection w:val="lrTb"/>
          <w:docGrid w:type="default" w:linePitch="299" w:charSpace="0"/>
        </w:sectPr>
      </w:pPr>
    </w:p>
    <w:p>
      <w:pPr>
        <w:pStyle w:val="Normal"/>
        <w:jc w:val="both"/>
        <w:rPr/>
      </w:pPr>
      <w:r>
        <w:rPr/>
        <w:t>Załącznik nr 3 do LSR - Plan działania wskazujący harmonogram osiągania poszczególnych wskaźników produktu</w:t>
      </w:r>
    </w:p>
    <w:tbl>
      <w:tblPr>
        <w:tblW w:w="15451" w:type="dxa"/>
        <w:jc w:val="center"/>
        <w:tblInd w:w="0" w:type="dxa"/>
        <w:tblLayout w:type="fixed"/>
        <w:tblCellMar>
          <w:top w:w="0" w:type="dxa"/>
          <w:left w:w="108" w:type="dxa"/>
          <w:bottom w:w="0" w:type="dxa"/>
          <w:right w:w="108" w:type="dxa"/>
        </w:tblCellMar>
      </w:tblPr>
      <w:tblGrid>
        <w:gridCol w:w="993"/>
        <w:gridCol w:w="1984"/>
        <w:gridCol w:w="680"/>
        <w:gridCol w:w="851"/>
        <w:gridCol w:w="1304"/>
        <w:gridCol w:w="680"/>
        <w:gridCol w:w="142"/>
        <w:gridCol w:w="29"/>
        <w:gridCol w:w="821"/>
        <w:gridCol w:w="1276"/>
        <w:gridCol w:w="29"/>
        <w:gridCol w:w="680"/>
        <w:gridCol w:w="850"/>
        <w:gridCol w:w="1305"/>
        <w:gridCol w:w="709"/>
        <w:gridCol w:w="1388"/>
        <w:gridCol w:w="29"/>
        <w:gridCol w:w="709"/>
        <w:gridCol w:w="992"/>
      </w:tblGrid>
      <w:tr>
        <w:trPr/>
        <w:tc>
          <w:tcPr>
            <w:tcW w:w="993" w:type="dxa"/>
            <w:vMerge w:val="restart"/>
            <w:tcBorders>
              <w:top w:val="single" w:sz="4" w:space="0" w:color="000000"/>
              <w:left w:val="single" w:sz="4" w:space="0" w:color="000000"/>
              <w:bottom w:val="single" w:sz="4" w:space="0" w:color="000000"/>
              <w:right w:val="single" w:sz="4" w:space="0" w:color="000000"/>
            </w:tcBorders>
            <w:shd w:fill="FF944B"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 xml:space="preserve">CEL OGÓLNY </w:t>
            </w:r>
          </w:p>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r>
          </w:p>
        </w:tc>
        <w:tc>
          <w:tcPr>
            <w:tcW w:w="1984" w:type="dxa"/>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Lata</w:t>
            </w:r>
          </w:p>
        </w:tc>
        <w:tc>
          <w:tcPr>
            <w:tcW w:w="2835" w:type="dxa"/>
            <w:gridSpan w:val="3"/>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2016-2018</w:t>
            </w:r>
          </w:p>
        </w:tc>
        <w:tc>
          <w:tcPr>
            <w:tcW w:w="2977" w:type="dxa"/>
            <w:gridSpan w:val="6"/>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2019-2021</w:t>
            </w:r>
          </w:p>
        </w:tc>
        <w:tc>
          <w:tcPr>
            <w:tcW w:w="2835" w:type="dxa"/>
            <w:gridSpan w:val="3"/>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2022 -2023</w:t>
            </w:r>
          </w:p>
        </w:tc>
        <w:tc>
          <w:tcPr>
            <w:tcW w:w="2097" w:type="dxa"/>
            <w:gridSpan w:val="2"/>
            <w:tcBorders>
              <w:top w:val="single" w:sz="4" w:space="0" w:color="000000"/>
              <w:left w:val="single" w:sz="4" w:space="0" w:color="000000"/>
              <w:bottom w:val="single" w:sz="4" w:space="0" w:color="000000"/>
              <w:right w:val="single" w:sz="4" w:space="0" w:color="000000"/>
            </w:tcBorders>
            <w:shd w:fill="FFFF00"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2016-2023</w:t>
            </w:r>
          </w:p>
        </w:tc>
        <w:tc>
          <w:tcPr>
            <w:tcW w:w="738" w:type="dxa"/>
            <w:gridSpan w:val="2"/>
            <w:vMerge w:val="restart"/>
            <w:tcBorders>
              <w:top w:val="single" w:sz="4" w:space="0" w:color="000000"/>
              <w:left w:val="single" w:sz="4" w:space="0" w:color="000000"/>
              <w:bottom w:val="single" w:sz="4" w:space="0" w:color="000000"/>
              <w:right w:val="single" w:sz="4" w:space="0" w:color="000000"/>
            </w:tcBorders>
            <w:shd w:fill="FE9786"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Program</w:t>
            </w:r>
          </w:p>
        </w:tc>
        <w:tc>
          <w:tcPr>
            <w:tcW w:w="992" w:type="dxa"/>
            <w:vMerge w:val="restart"/>
            <w:tcBorders>
              <w:top w:val="single" w:sz="4" w:space="0" w:color="000000"/>
              <w:left w:val="single" w:sz="4" w:space="0" w:color="000000"/>
              <w:bottom w:val="single" w:sz="4" w:space="0" w:color="000000"/>
              <w:right w:val="single" w:sz="4" w:space="0" w:color="000000"/>
            </w:tcBorders>
            <w:shd w:fill="FE9786"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Poddziałanie/zakres Programu</w:t>
            </w:r>
          </w:p>
        </w:tc>
      </w:tr>
      <w:tr>
        <w:trPr/>
        <w:tc>
          <w:tcPr>
            <w:tcW w:w="993" w:type="dxa"/>
            <w:vMerge w:val="continue"/>
            <w:tcBorders>
              <w:top w:val="single" w:sz="4" w:space="0" w:color="000000"/>
              <w:left w:val="single" w:sz="4" w:space="0" w:color="000000"/>
              <w:bottom w:val="single" w:sz="4" w:space="0" w:color="000000"/>
              <w:right w:val="single" w:sz="4" w:space="0" w:color="000000"/>
            </w:tcBorders>
            <w:shd w:fill="FF944B"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Nazwa wskaźnika</w:t>
            </w:r>
          </w:p>
        </w:tc>
        <w:tc>
          <w:tcPr>
            <w:tcW w:w="68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Wartość z jednostką miary</w:t>
            </w:r>
          </w:p>
        </w:tc>
        <w:tc>
          <w:tcPr>
            <w:tcW w:w="851"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realizacji wskaźnika narastająco</w:t>
            </w:r>
          </w:p>
        </w:tc>
        <w:tc>
          <w:tcPr>
            <w:tcW w:w="1304"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Planowane wsparcie</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i</w:t>
            </w:r>
            <w:r>
              <w:rPr>
                <w:rFonts w:cs="Times New Roman" w:ascii="Times New Roman" w:hAnsi="Times New Roman"/>
                <w:sz w:val="24"/>
                <w:szCs w:val="24"/>
              </w:rPr>
              <w:t xml:space="preserve"> </w:t>
            </w:r>
            <w:r>
              <w:rPr>
                <w:rFonts w:cs="Times New Roman" w:ascii="Times New Roman" w:hAnsi="Times New Roman"/>
                <w:sz w:val="16"/>
                <w:szCs w:val="16"/>
                <w:lang w:eastAsia="pl-PL"/>
              </w:rPr>
              <w:t>PLN</w:t>
            </w:r>
          </w:p>
        </w:tc>
        <w:tc>
          <w:tcPr>
            <w:tcW w:w="68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Wartość z jednostką miary</w:t>
            </w:r>
          </w:p>
        </w:tc>
        <w:tc>
          <w:tcPr>
            <w:tcW w:w="992" w:type="dxa"/>
            <w:gridSpan w:val="3"/>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realizacji wskaźnika narastająco</w:t>
            </w:r>
          </w:p>
        </w:tc>
        <w:tc>
          <w:tcPr>
            <w:tcW w:w="1305" w:type="dxa"/>
            <w:gridSpan w:val="2"/>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Planowane wsparcie </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i</w:t>
            </w:r>
            <w:r>
              <w:rPr>
                <w:rFonts w:cs="Times New Roman" w:ascii="Times New Roman" w:hAnsi="Times New Roman"/>
                <w:sz w:val="24"/>
                <w:szCs w:val="24"/>
              </w:rPr>
              <w:t xml:space="preserve"> </w:t>
            </w:r>
            <w:r>
              <w:rPr>
                <w:rFonts w:cs="Times New Roman" w:ascii="Times New Roman" w:hAnsi="Times New Roman"/>
                <w:sz w:val="16"/>
                <w:szCs w:val="16"/>
                <w:lang w:eastAsia="pl-PL"/>
              </w:rPr>
              <w:t>PLN</w:t>
            </w:r>
          </w:p>
        </w:tc>
        <w:tc>
          <w:tcPr>
            <w:tcW w:w="68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Wartość z jednostką miary</w:t>
            </w:r>
          </w:p>
        </w:tc>
        <w:tc>
          <w:tcPr>
            <w:tcW w:w="850"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realizacji wskaźnika narastająco</w:t>
            </w:r>
          </w:p>
        </w:tc>
        <w:tc>
          <w:tcPr>
            <w:tcW w:w="1305"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Planowane wsparcie </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xml:space="preserve">€ i </w:t>
            </w:r>
            <w:r>
              <w:rPr>
                <w:rFonts w:cs="Times New Roman" w:ascii="Times New Roman" w:hAnsi="Times New Roman"/>
                <w:sz w:val="16"/>
                <w:szCs w:val="16"/>
                <w:lang w:eastAsia="pl-PL"/>
              </w:rPr>
              <w:t>PLN</w:t>
            </w:r>
          </w:p>
        </w:tc>
        <w:tc>
          <w:tcPr>
            <w:tcW w:w="709"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Razem wartość wskaźników</w:t>
            </w:r>
          </w:p>
        </w:tc>
        <w:tc>
          <w:tcPr>
            <w:tcW w:w="1388" w:type="dxa"/>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Razem planowane wsparcie </w:t>
            </w:r>
          </w:p>
          <w:p>
            <w:pPr>
              <w:pStyle w:val="Normal"/>
              <w:spacing w:lineRule="auto" w:line="240" w:before="0" w:after="0"/>
              <w:rPr/>
            </w:pPr>
            <w:r>
              <w:rPr>
                <w:rFonts w:cs="Times New Roman" w:ascii="Times New Roman" w:hAnsi="Times New Roman"/>
                <w:sz w:val="16"/>
                <w:szCs w:val="16"/>
                <w:lang w:eastAsia="pl-PL"/>
              </w:rPr>
              <w:t xml:space="preserve">w  </w:t>
            </w:r>
            <w:r>
              <w:rPr>
                <w:rFonts w:cs="Times New Roman" w:ascii="Times New Roman" w:hAnsi="Times New Roman"/>
                <w:sz w:val="16"/>
                <w:szCs w:val="16"/>
              </w:rPr>
              <w:t xml:space="preserve">€ i </w:t>
            </w:r>
            <w:r>
              <w:rPr>
                <w:rFonts w:cs="Times New Roman" w:ascii="Times New Roman" w:hAnsi="Times New Roman"/>
                <w:sz w:val="16"/>
                <w:szCs w:val="16"/>
                <w:lang w:eastAsia="pl-PL"/>
              </w:rPr>
              <w:t>PLN</w:t>
            </w:r>
          </w:p>
        </w:tc>
        <w:tc>
          <w:tcPr>
            <w:tcW w:w="738" w:type="dxa"/>
            <w:gridSpan w:val="2"/>
            <w:vMerge w:val="continue"/>
            <w:tcBorders>
              <w:top w:val="single" w:sz="4" w:space="0" w:color="000000"/>
              <w:left w:val="single" w:sz="4" w:space="0" w:color="000000"/>
              <w:bottom w:val="single" w:sz="4" w:space="0" w:color="000000"/>
              <w:right w:val="single" w:sz="4" w:space="0" w:color="000000"/>
            </w:tcBorders>
            <w:shd w:fill="FE978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shd w:fill="FE978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195" w:hRule="atLeast"/>
        </w:trPr>
        <w:tc>
          <w:tcPr>
            <w:tcW w:w="13721" w:type="dxa"/>
            <w:gridSpan w:val="16"/>
            <w:tcBorders>
              <w:top w:val="single" w:sz="4" w:space="0" w:color="000000"/>
              <w:left w:val="single" w:sz="4" w:space="0" w:color="000000"/>
              <w:bottom w:val="single" w:sz="4" w:space="0" w:color="000000"/>
              <w:right w:val="single" w:sz="4" w:space="0" w:color="000000"/>
            </w:tcBorders>
            <w:shd w:fill="FFB27D"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 xml:space="preserve">Cel szczegółowy 1.1 </w:t>
            </w:r>
            <w:r>
              <w:rPr>
                <w:rFonts w:eastAsia="Times New Roman" w:cs="Arial" w:ascii="Times New Roman" w:hAnsi="Times New Roman"/>
                <w:b/>
                <w:sz w:val="18"/>
                <w:szCs w:val="18"/>
                <w:lang w:eastAsia="pl-PL"/>
              </w:rPr>
              <w:t>Rozwój przedsiębiorczości na obszarze LSR do 2023 roku</w:t>
            </w:r>
          </w:p>
        </w:tc>
        <w:tc>
          <w:tcPr>
            <w:tcW w:w="738" w:type="dxa"/>
            <w:gridSpan w:val="2"/>
            <w:tcBorders>
              <w:top w:val="single" w:sz="4" w:space="0" w:color="000000"/>
              <w:left w:val="single" w:sz="4" w:space="0" w:color="000000"/>
              <w:bottom w:val="single" w:sz="4" w:space="0" w:color="000000"/>
              <w:right w:val="single" w:sz="4" w:space="0" w:color="000000"/>
            </w:tcBorders>
            <w:shd w:fill="FEC4BA"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PROW/RPO</w:t>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68" w:hRule="atLeast"/>
        </w:trPr>
        <w:tc>
          <w:tcPr>
            <w:tcW w:w="993" w:type="dxa"/>
            <w:vMerge w:val="restart"/>
            <w:tcBorders>
              <w:top w:val="single" w:sz="4" w:space="0" w:color="000000"/>
              <w:left w:val="single" w:sz="4" w:space="0" w:color="000000"/>
              <w:bottom w:val="single" w:sz="4" w:space="0" w:color="000000"/>
              <w:right w:val="single" w:sz="4" w:space="0" w:color="000000"/>
            </w:tcBorders>
            <w:shd w:fill="FFD5B9"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1.1.1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eastAsia="Times New Roman" w:cs="Times New Roman" w:ascii="Times New Roman" w:hAnsi="Times New Roman"/>
                <w:sz w:val="16"/>
                <w:szCs w:val="16"/>
                <w:lang w:eastAsia="pl-PL"/>
              </w:rPr>
              <w:t>Liczba zrealizowanych operacji polegających na utworzeniu nowego przedsiębiorstwa</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20</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80 000,00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320 000,00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14 sztuk</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280 000,00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1 120 000,00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146 352,10 €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585 408,40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388"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506 352,10 €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2 025 408, 40 zł</w:t>
            </w:r>
          </w:p>
        </w:tc>
        <w:tc>
          <w:tcPr>
            <w:tcW w:w="73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568" w:hRule="atLeast"/>
        </w:trPr>
        <w:tc>
          <w:tcPr>
            <w:tcW w:w="993" w:type="dxa"/>
            <w:vMerge w:val="continue"/>
            <w:tcBorders>
              <w:top w:val="single" w:sz="4" w:space="0" w:color="000000"/>
              <w:left w:val="single" w:sz="4" w:space="0" w:color="000000"/>
              <w:bottom w:val="single" w:sz="4" w:space="0" w:color="000000"/>
              <w:right w:val="single" w:sz="4" w:space="0" w:color="000000"/>
            </w:tcBorders>
            <w:shd w:fill="FFD5B9"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zrealizowanych operacji ukierunkowanych na innowacje</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 sztuk</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w:t>
            </w:r>
          </w:p>
        </w:tc>
        <w:tc>
          <w:tcPr>
            <w:tcW w:w="138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3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618" w:hRule="atLeast"/>
        </w:trPr>
        <w:tc>
          <w:tcPr>
            <w:tcW w:w="993" w:type="dxa"/>
            <w:vMerge w:val="restart"/>
            <w:tcBorders>
              <w:top w:val="single" w:sz="4" w:space="0" w:color="000000"/>
              <w:left w:val="single" w:sz="4" w:space="0" w:color="000000"/>
              <w:bottom w:val="single" w:sz="4" w:space="0" w:color="000000"/>
              <w:right w:val="single" w:sz="4" w:space="0" w:color="000000"/>
            </w:tcBorders>
            <w:shd w:fill="FFD5B9"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1.1.2</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eastAsia="Times New Roman" w:cs="Times New Roman" w:ascii="Times New Roman" w:hAnsi="Times New Roman"/>
                <w:sz w:val="16"/>
                <w:szCs w:val="16"/>
                <w:lang w:eastAsia="pl-PL"/>
              </w:rPr>
              <w:t>Liczba zrealizowanych operacji polegających na rozwoju istniejącego przedsiębiorstwa </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sztuka</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56 250 ,00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225 000,00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sztuki</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182 397,90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729 591,60 zł</w:t>
            </w:r>
          </w:p>
        </w:tc>
        <w:tc>
          <w:tcPr>
            <w:tcW w:w="6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trike/>
                <w:sz w:val="16"/>
                <w:szCs w:val="16"/>
                <w:lang w:eastAsia="pl-PL"/>
              </w:rPr>
            </w:pPr>
            <w:r>
              <w:rPr>
                <w:rFonts w:cs="Times New Roman" w:ascii="Times New Roman" w:hAnsi="Times New Roman"/>
                <w:strike/>
                <w:sz w:val="16"/>
                <w:szCs w:val="16"/>
                <w:lang w:eastAsia="pl-PL"/>
              </w:rPr>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400 000,00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8</w:t>
            </w:r>
          </w:p>
        </w:tc>
        <w:tc>
          <w:tcPr>
            <w:tcW w:w="1388"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trike/>
                <w:sz w:val="16"/>
                <w:szCs w:val="16"/>
                <w:lang w:eastAsia="pl-PL"/>
              </w:rPr>
            </w:pPr>
            <w:r>
              <w:rPr>
                <w:rFonts w:cs="Times New Roman" w:ascii="Times New Roman" w:hAnsi="Times New Roman"/>
                <w:strike/>
                <w:sz w:val="16"/>
                <w:szCs w:val="16"/>
                <w:lang w:eastAsia="pl-PL"/>
              </w:rPr>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338 647,90 €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1 354 591,60 zł</w:t>
            </w:r>
          </w:p>
        </w:tc>
        <w:tc>
          <w:tcPr>
            <w:tcW w:w="73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618" w:hRule="atLeast"/>
        </w:trPr>
        <w:tc>
          <w:tcPr>
            <w:tcW w:w="993" w:type="dxa"/>
            <w:vMerge w:val="continue"/>
            <w:tcBorders>
              <w:top w:val="single" w:sz="4" w:space="0" w:color="000000"/>
              <w:left w:val="single" w:sz="4" w:space="0" w:color="000000"/>
              <w:bottom w:val="single" w:sz="4" w:space="0" w:color="000000"/>
              <w:right w:val="single" w:sz="4" w:space="0" w:color="000000"/>
            </w:tcBorders>
            <w:shd w:fill="FFD5B9"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zrealizowanych operacji ukierunkowanych na innowacje</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sztuka</w:t>
            </w:r>
          </w:p>
        </w:tc>
        <w:tc>
          <w:tcPr>
            <w:tcW w:w="9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w:t>
            </w:r>
          </w:p>
        </w:tc>
        <w:tc>
          <w:tcPr>
            <w:tcW w:w="138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3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Razem cel szczegółowy 1.1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136 250 ,00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545 000,00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462 397,90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1 849 591,60zł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246 352,10 €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985 408,40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845 000,00 €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3 380 000,00 zł</w:t>
            </w:r>
          </w:p>
        </w:tc>
        <w:tc>
          <w:tcPr>
            <w:tcW w:w="1730"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FFFFCC"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Razem cel ogólny 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 xml:space="preserve">136 250,00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545 000,00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462 397,90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1 849 591,60zł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246 352,10 €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985 408,40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845 000,00 €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3 380 000,00 zł</w:t>
            </w:r>
          </w:p>
        </w:tc>
        <w:tc>
          <w:tcPr>
            <w:tcW w:w="1730" w:type="dxa"/>
            <w:gridSpan w:val="3"/>
            <w:tcBorders>
              <w:top w:val="single" w:sz="4" w:space="0" w:color="000000"/>
              <w:left w:val="single" w:sz="4" w:space="0" w:color="000000"/>
              <w:bottom w:val="single" w:sz="4" w:space="0" w:color="000000"/>
              <w:right w:val="single" w:sz="4" w:space="0" w:color="000000"/>
            </w:tcBorders>
            <w:shd w:fill="A6A6A6" w:val="clear"/>
            <w:vAlign w:val="cente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r>
      <w:tr>
        <w:trPr>
          <w:trHeight w:val="154" w:hRule="atLeast"/>
        </w:trPr>
        <w:tc>
          <w:tcPr>
            <w:tcW w:w="15451" w:type="dxa"/>
            <w:gridSpan w:val="19"/>
            <w:tcBorders>
              <w:top w:val="single" w:sz="4" w:space="0" w:color="000000"/>
              <w:left w:val="single" w:sz="4" w:space="0" w:color="000000"/>
              <w:bottom w:val="single" w:sz="4" w:space="0" w:color="000000"/>
              <w:right w:val="single" w:sz="4" w:space="0" w:color="000000"/>
            </w:tcBorders>
            <w:shd w:fill="B6DDE8"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b/>
                <w:sz w:val="18"/>
                <w:szCs w:val="18"/>
                <w:lang w:eastAsia="pl-PL"/>
              </w:rPr>
              <w:t xml:space="preserve">Cel ogólny 2 </w:t>
            </w:r>
          </w:p>
        </w:tc>
      </w:tr>
      <w:tr>
        <w:trPr>
          <w:trHeight w:val="199" w:hRule="atLeast"/>
        </w:trPr>
        <w:tc>
          <w:tcPr>
            <w:tcW w:w="15451" w:type="dxa"/>
            <w:gridSpan w:val="19"/>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b/>
                <w:sz w:val="18"/>
                <w:szCs w:val="18"/>
                <w:lang w:eastAsia="pl-PL"/>
              </w:rPr>
              <w:t xml:space="preserve">Cel szczegółowy 2.1 </w:t>
            </w:r>
            <w:r>
              <w:rPr>
                <w:rFonts w:eastAsia="Times New Roman" w:cs="Arial" w:ascii="Times New Roman" w:hAnsi="Times New Roman"/>
                <w:b/>
                <w:sz w:val="18"/>
                <w:szCs w:val="18"/>
                <w:lang w:eastAsia="pl-PL"/>
              </w:rPr>
              <w:t>Aktywizacja i integracja mieszkańców obszaru LSR do 2023 roku</w:t>
            </w:r>
          </w:p>
        </w:tc>
      </w:tr>
      <w:tr>
        <w:trPr>
          <w:trHeight w:val="572" w:hRule="atLeast"/>
        </w:trPr>
        <w:tc>
          <w:tcPr>
            <w:tcW w:w="993" w:type="dxa"/>
            <w:vMerge w:val="restart"/>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color w:val="000000"/>
                <w:sz w:val="16"/>
                <w:szCs w:val="16"/>
                <w:lang w:eastAsia="pl-PL"/>
              </w:rPr>
            </w:pPr>
            <w:r>
              <w:rPr>
                <w:rFonts w:eastAsia="Times New Roman" w:cs="Times New Roman" w:ascii="Times New Roman" w:hAnsi="Times New Roman"/>
                <w:color w:val="000000"/>
                <w:sz w:val="16"/>
                <w:szCs w:val="16"/>
                <w:lang w:eastAsia="pl-PL"/>
              </w:rPr>
              <w:t>Liczba wspartych operacji dotyczących inicjatyw w zakresie rozwoju infrastruktury społecznej  służącej aktywizacji i integracji mieszkańców</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7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color w:val="000000"/>
                <w:sz w:val="16"/>
                <w:szCs w:val="16"/>
                <w:lang w:eastAsia="pl-PL"/>
              </w:rPr>
              <w:t xml:space="preserve">59 032,55 </w:t>
            </w:r>
            <w:r>
              <w:rPr>
                <w:rFonts w:cs="Times New Roman" w:ascii="Times New Roman" w:hAnsi="Times New Roman"/>
                <w:color w:val="000000"/>
                <w:sz w:val="16"/>
                <w:szCs w:val="16"/>
              </w:rPr>
              <w:t>€</w:t>
            </w:r>
            <w:r>
              <w:rPr>
                <w:rFonts w:cs="Times New Roman" w:ascii="Times New Roman" w:hAnsi="Times New Roman"/>
                <w:color w:val="000000"/>
                <w:sz w:val="16"/>
                <w:szCs w:val="16"/>
                <w:lang w:eastAsia="pl-PL"/>
              </w:rPr>
              <w:t xml:space="preserve"> </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236 130,20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47 967,45 </w:t>
            </w:r>
            <w:r>
              <w:rPr>
                <w:rFonts w:cs="Times New Roman" w:ascii="Times New Roman" w:hAnsi="Times New Roman"/>
                <w:sz w:val="16"/>
                <w:szCs w:val="16"/>
              </w:rPr>
              <w:t>€</w:t>
            </w:r>
          </w:p>
          <w:p>
            <w:pPr>
              <w:pStyle w:val="Normal"/>
              <w:spacing w:lineRule="auto" w:line="240" w:before="0" w:after="0"/>
              <w:jc w:val="right"/>
              <w:rPr/>
            </w:pPr>
            <w:r>
              <w:rPr>
                <w:rFonts w:cs="Times New Roman" w:ascii="Times New Roman" w:hAnsi="Times New Roman"/>
                <w:sz w:val="16"/>
                <w:szCs w:val="16"/>
              </w:rPr>
              <w:t>191 869,80 zł</w:t>
            </w:r>
            <w:r>
              <w:rPr>
                <w:rFonts w:cs="Times New Roman" w:ascii="Times New Roman" w:hAnsi="Times New Roman"/>
                <w:sz w:val="16"/>
                <w:szCs w:val="16"/>
                <w:lang w:eastAsia="pl-PL"/>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107 000,00 </w:t>
            </w:r>
            <w:r>
              <w:rPr>
                <w:rFonts w:cs="Times New Roman" w:ascii="Times New Roman" w:hAnsi="Times New Roman"/>
                <w:sz w:val="16"/>
                <w:szCs w:val="16"/>
              </w:rPr>
              <w:t>€</w:t>
            </w:r>
          </w:p>
          <w:p>
            <w:pPr>
              <w:pStyle w:val="Normal"/>
              <w:spacing w:lineRule="auto" w:line="240" w:before="0" w:after="0"/>
              <w:jc w:val="right"/>
              <w:rPr/>
            </w:pPr>
            <w:r>
              <w:rPr>
                <w:rFonts w:cs="Times New Roman" w:ascii="Times New Roman" w:hAnsi="Times New Roman"/>
                <w:sz w:val="16"/>
                <w:szCs w:val="16"/>
              </w:rPr>
              <w:t>428 000,00 zł</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447"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color w:val="000000"/>
                <w:sz w:val="16"/>
                <w:szCs w:val="16"/>
                <w:lang w:eastAsia="pl-PL"/>
              </w:rPr>
            </w:pPr>
            <w:r>
              <w:rPr>
                <w:rFonts w:eastAsia="Times New Roman" w:cs="Times New Roman" w:ascii="Times New Roman" w:hAnsi="Times New Roman"/>
                <w:color w:val="000000"/>
                <w:sz w:val="16"/>
                <w:szCs w:val="16"/>
                <w:lang w:eastAsia="pl-PL"/>
              </w:rPr>
              <w:t>Liczba operacji dotyczących publikacji służących aktywizacji i integracji mieszkańców</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2 sztuki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2</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427" w:hRule="atLeast"/>
        </w:trPr>
        <w:tc>
          <w:tcPr>
            <w:tcW w:w="993" w:type="dxa"/>
            <w:vMerge w:val="restart"/>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osobodni szkoleń dla pracowników i organów  LGD</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107 osobodni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50</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125 000,00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500 000,00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107 osobodni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150 000,00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600 000,00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osobodni</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76 620,00 €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306 480,00zł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214</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351 620,00 €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1 406 480,00zł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Funkcjonowanie LGD</w:t>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osób/podmiotów, którym udzielono indywidualnego doradztwa</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55 osób</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55 osób</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osób</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110</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spotkań / wydarzeń adresowanych do mieszkańców</w:t>
            </w:r>
            <w:r>
              <w:rPr>
                <w:rFonts w:eastAsia="Times New Roman" w:cs="Times New Roman" w:ascii="Times New Roman" w:hAnsi="Times New Roman"/>
                <w:strike/>
                <w:sz w:val="16"/>
                <w:szCs w:val="16"/>
                <w:lang w:eastAsia="pl-PL"/>
              </w:rPr>
              <w:t xml:space="preserve">  </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56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24 sztuki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80</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textAlignment w:val="baseline"/>
              <w:rPr>
                <w:rFonts w:ascii="Times New Roman" w:hAnsi="Times New Roman" w:eastAsia="Lucida Grande;Times New Roman" w:cs="Arial"/>
                <w:kern w:val="2"/>
                <w:sz w:val="16"/>
                <w:szCs w:val="16"/>
                <w:lang w:eastAsia="pl-PL"/>
              </w:rPr>
            </w:pPr>
            <w:r>
              <w:rPr>
                <w:rFonts w:eastAsia="Lucida Grande;Times New Roman" w:cs="Arial" w:ascii="Times New Roman" w:hAnsi="Times New Roman"/>
                <w:kern w:val="2"/>
                <w:sz w:val="16"/>
                <w:szCs w:val="16"/>
                <w:lang w:eastAsia="pl-PL"/>
              </w:rPr>
              <w:t>Liczba wydanych, opracowanych publikacji i materiałów informacyjno-promocyjnych</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21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80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35</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Lucida Grande;Times New Roman" w:cs="Arial" w:ascii="Times New Roman" w:hAnsi="Times New Roman"/>
                <w:kern w:val="2"/>
                <w:sz w:val="16"/>
                <w:szCs w:val="16"/>
                <w:lang w:eastAsia="pl-PL"/>
              </w:rPr>
              <w:t>Liczba wydarzeń promocyjnych, na których promowano działalność LGD i obszar LSR</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 sztuki</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416"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odwiedzin strony internetowej  LGD</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16.800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35</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16.800</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14.400</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424" w:hRule="atLeast"/>
        </w:trPr>
        <w:tc>
          <w:tcPr>
            <w:tcW w:w="993" w:type="dxa"/>
            <w:vMerge w:val="restart"/>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2.1.3</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zrealizowanych projektów współpracy</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sztuka</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33,3</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40 000,00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3 sztuki</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115 000,00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460 000,00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4</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 xml:space="preserve">125 000,00 </w:t>
            </w:r>
            <w:r>
              <w:rPr>
                <w:rFonts w:cs="Times New Roman" w:ascii="Times New Roman" w:hAnsi="Times New Roman"/>
                <w:color w:val="000000"/>
                <w:sz w:val="16"/>
                <w:szCs w:val="16"/>
              </w:rPr>
              <w:t>€</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500 000,00 zł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Projekty współpracy</w:t>
            </w:r>
          </w:p>
        </w:tc>
      </w:tr>
      <w:tr>
        <w:trPr>
          <w:trHeight w:val="572" w:hRule="atLeast"/>
        </w:trPr>
        <w:tc>
          <w:tcPr>
            <w:tcW w:w="993" w:type="dxa"/>
            <w:vMerge w:val="continue"/>
            <w:tcBorders>
              <w:top w:val="single" w:sz="4" w:space="0" w:color="000000"/>
              <w:left w:val="single" w:sz="4" w:space="0" w:color="000000"/>
              <w:bottom w:val="single" w:sz="4" w:space="0" w:color="000000"/>
              <w:right w:val="single" w:sz="4" w:space="0" w:color="000000"/>
            </w:tcBorders>
            <w:shd w:fill="DAEEF3"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LGD uczestniczących w projektach współpracy, finansowanych w ramach LSR</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40</w:t>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9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100</w:t>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13</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572" w:hRule="atLeast"/>
        </w:trPr>
        <w:tc>
          <w:tcPr>
            <w:tcW w:w="993" w:type="dxa"/>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2.1.4</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opracowanych koncepcji SV</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2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25 000,00 €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25</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25 000,00 €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zł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281" w:hRule="atLeast"/>
        </w:trPr>
        <w:tc>
          <w:tcPr>
            <w:tcW w:w="2977" w:type="dxa"/>
            <w:gridSpan w:val="2"/>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t>Razem cel szczegółowy 2.1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eastAsia="Times New Roman" w:cs="Times New Roman"/>
                <w:b/>
                <w:b/>
                <w:sz w:val="16"/>
                <w:szCs w:val="16"/>
                <w:lang w:eastAsia="pl-PL"/>
              </w:rPr>
            </w:pPr>
            <w:r>
              <w:rPr>
                <w:rFonts w:eastAsia="Times New Roman"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135 000,00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540 000,00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color w:val="000000"/>
                <w:sz w:val="16"/>
                <w:szCs w:val="16"/>
                <w:lang w:eastAsia="pl-PL"/>
              </w:rPr>
              <w:t xml:space="preserve">324 032,55  </w:t>
            </w:r>
            <w:r>
              <w:rPr>
                <w:rFonts w:cs="Times New Roman" w:ascii="Times New Roman" w:hAnsi="Times New Roman"/>
                <w:color w:val="000000"/>
                <w:sz w:val="16"/>
                <w:szCs w:val="16"/>
              </w:rPr>
              <w:t>€</w:t>
            </w:r>
            <w:r>
              <w:rPr>
                <w:rFonts w:cs="Times New Roman" w:ascii="Times New Roman" w:hAnsi="Times New Roman"/>
                <w:color w:val="000000"/>
                <w:sz w:val="16"/>
                <w:szCs w:val="16"/>
                <w:lang w:eastAsia="pl-PL"/>
              </w:rPr>
              <w:t xml:space="preserve"> </w:t>
            </w:r>
          </w:p>
          <w:p>
            <w:pPr>
              <w:pStyle w:val="Normal"/>
              <w:spacing w:lineRule="auto" w:line="240" w:before="0" w:after="0"/>
              <w:jc w:val="right"/>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t>1 296 130,20  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color w:val="000000"/>
                <w:sz w:val="16"/>
                <w:szCs w:val="16"/>
                <w:lang w:eastAsia="pl-PL"/>
              </w:rPr>
            </w:pPr>
            <w:r>
              <w:rPr>
                <w:rFonts w:cs="Times New Roman" w:ascii="Times New Roman" w:hAnsi="Times New Roman"/>
                <w:color w:val="000000"/>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149 587,45 €</w:t>
            </w:r>
          </w:p>
          <w:p>
            <w:pPr>
              <w:pStyle w:val="Normal"/>
              <w:spacing w:lineRule="auto" w:line="240" w:before="0" w:after="0"/>
              <w:jc w:val="right"/>
              <w:rPr/>
            </w:pPr>
            <w:r>
              <w:rPr>
                <w:rFonts w:cs="Times New Roman" w:ascii="Times New Roman" w:hAnsi="Times New Roman"/>
                <w:sz w:val="16"/>
                <w:szCs w:val="16"/>
                <w:lang w:eastAsia="pl-PL"/>
              </w:rPr>
              <w:t>598 349,80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608 620,00 €</w:t>
            </w:r>
          </w:p>
          <w:p>
            <w:pPr>
              <w:pStyle w:val="Normal"/>
              <w:spacing w:lineRule="auto" w:line="240" w:before="0" w:after="0"/>
              <w:jc w:val="right"/>
              <w:rPr/>
            </w:pPr>
            <w:r>
              <w:rPr>
                <w:rFonts w:cs="Times New Roman" w:ascii="Times New Roman" w:hAnsi="Times New Roman"/>
                <w:sz w:val="16"/>
                <w:szCs w:val="16"/>
                <w:lang w:eastAsia="pl-PL"/>
              </w:rPr>
              <w:t>2 434 480,00 zł</w:t>
            </w:r>
          </w:p>
        </w:tc>
        <w:tc>
          <w:tcPr>
            <w:tcW w:w="170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132" w:hRule="atLeast"/>
        </w:trPr>
        <w:tc>
          <w:tcPr>
            <w:tcW w:w="15451" w:type="dxa"/>
            <w:gridSpan w:val="19"/>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b/>
                <w:sz w:val="18"/>
                <w:szCs w:val="18"/>
                <w:lang w:eastAsia="pl-PL"/>
              </w:rPr>
              <w:t xml:space="preserve">Cel szczegółowy 2.2 </w:t>
            </w:r>
            <w:r>
              <w:rPr>
                <w:rFonts w:eastAsia="Times New Roman" w:cs="Arial" w:ascii="Times New Roman" w:hAnsi="Times New Roman"/>
                <w:b/>
                <w:sz w:val="18"/>
                <w:szCs w:val="18"/>
                <w:lang w:eastAsia="pl-PL"/>
              </w:rPr>
              <w:t>Promocja zasobów lokalnych obszaru LSR do 2023 roku</w:t>
            </w:r>
          </w:p>
        </w:tc>
      </w:tr>
      <w:tr>
        <w:trPr>
          <w:trHeight w:val="555" w:hRule="atLeast"/>
        </w:trPr>
        <w:tc>
          <w:tcPr>
            <w:tcW w:w="993" w:type="dxa"/>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2.2.1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Liczba wspartych operacji dotyczących działań informacyjno-promocyjnych</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21,42</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32 500,00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130 000,00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6 sztuk</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64,28</w:t>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40 538,44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162 153,76 zł</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19 961,56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79 846,24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13</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93 000,00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372 000,00 zł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337" w:hRule="atLeast"/>
        </w:trPr>
        <w:tc>
          <w:tcPr>
            <w:tcW w:w="2977" w:type="dxa"/>
            <w:gridSpan w:val="2"/>
            <w:tcBorders>
              <w:top w:val="single" w:sz="4" w:space="0" w:color="000000"/>
              <w:left w:val="single" w:sz="4" w:space="0" w:color="000000"/>
              <w:bottom w:val="single" w:sz="4" w:space="0" w:color="000000"/>
              <w:right w:val="single" w:sz="4" w:space="0" w:color="000000"/>
            </w:tcBorders>
            <w:shd w:fill="DAEEF3" w:val="clear"/>
          </w:tcPr>
          <w:p>
            <w:pPr>
              <w:pStyle w:val="Normal"/>
              <w:spacing w:lineRule="auto" w:line="240" w:before="0" w:after="0"/>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t>Razem cel szczegółowy 2.2</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eastAsia="Times New Roman" w:cs="Times New Roman"/>
                <w:b/>
                <w:b/>
                <w:sz w:val="16"/>
                <w:szCs w:val="16"/>
                <w:lang w:eastAsia="pl-PL"/>
              </w:rPr>
            </w:pPr>
            <w:r>
              <w:rPr>
                <w:rFonts w:eastAsia="Times New Roman"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32 500,00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130 000,00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40 538,44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162 153,76 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trike/>
                <w:sz w:val="16"/>
                <w:szCs w:val="16"/>
                <w:lang w:eastAsia="pl-PL"/>
              </w:rPr>
            </w:pPr>
            <w:r>
              <w:rPr>
                <w:rFonts w:eastAsia="Times New Roman" w:cs="Times New Roman" w:ascii="Times New Roman" w:hAnsi="Times New Roman"/>
                <w:sz w:val="16"/>
                <w:szCs w:val="16"/>
                <w:lang w:eastAsia="pl-PL"/>
              </w:rPr>
              <w:t xml:space="preserve">      </w:t>
            </w:r>
            <w:r>
              <w:rPr>
                <w:rFonts w:cs="Times New Roman" w:ascii="Times New Roman" w:hAnsi="Times New Roman"/>
                <w:sz w:val="16"/>
                <w:szCs w:val="16"/>
                <w:lang w:eastAsia="pl-PL"/>
              </w:rPr>
              <w:t xml:space="preserve">19 961,56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79 846,24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93 000,00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rPr>
              <w:t>372 000,00 zł</w:t>
            </w:r>
          </w:p>
        </w:tc>
        <w:tc>
          <w:tcPr>
            <w:tcW w:w="170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37" w:hRule="atLeast"/>
        </w:trPr>
        <w:tc>
          <w:tcPr>
            <w:tcW w:w="2977" w:type="dxa"/>
            <w:gridSpan w:val="2"/>
            <w:tcBorders>
              <w:top w:val="single" w:sz="4" w:space="0" w:color="000000"/>
              <w:left w:val="single" w:sz="4" w:space="0" w:color="000000"/>
              <w:bottom w:val="single" w:sz="4" w:space="0" w:color="000000"/>
              <w:right w:val="single" w:sz="4" w:space="0" w:color="000000"/>
            </w:tcBorders>
            <w:shd w:fill="8DB3E2" w:val="clear"/>
          </w:tcPr>
          <w:p>
            <w:pPr>
              <w:pStyle w:val="Normal"/>
              <w:spacing w:lineRule="auto" w:line="240" w:before="0" w:after="0"/>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t>Razem cel ogólny 2</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eastAsia="Times New Roman" w:cs="Times New Roman"/>
                <w:b/>
                <w:b/>
                <w:sz w:val="16"/>
                <w:szCs w:val="16"/>
                <w:lang w:eastAsia="pl-PL"/>
              </w:rPr>
            </w:pPr>
            <w:r>
              <w:rPr>
                <w:rFonts w:eastAsia="Times New Roman"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 xml:space="preserve">167 500,00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670 000,00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364 570,99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1 458 283,96 zł</w:t>
            </w:r>
          </w:p>
        </w:tc>
        <w:tc>
          <w:tcPr>
            <w:tcW w:w="1530"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169 549,01 €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678 196,04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701 620,00 €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2 806 480,00zł</w:t>
            </w:r>
          </w:p>
        </w:tc>
        <w:tc>
          <w:tcPr>
            <w:tcW w:w="170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r>
      <w:tr>
        <w:trPr>
          <w:trHeight w:val="288" w:hRule="atLeast"/>
        </w:trPr>
        <w:tc>
          <w:tcPr>
            <w:tcW w:w="15451" w:type="dxa"/>
            <w:gridSpan w:val="19"/>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Cel ogólny 3</w:t>
            </w:r>
          </w:p>
        </w:tc>
      </w:tr>
      <w:tr>
        <w:trPr>
          <w:trHeight w:val="288" w:hRule="atLeast"/>
        </w:trPr>
        <w:tc>
          <w:tcPr>
            <w:tcW w:w="15451" w:type="dxa"/>
            <w:gridSpan w:val="19"/>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8"/>
                <w:szCs w:val="18"/>
                <w:lang w:eastAsia="pl-PL"/>
              </w:rPr>
            </w:pPr>
            <w:r>
              <w:rPr>
                <w:rFonts w:cs="Times New Roman" w:ascii="Times New Roman" w:hAnsi="Times New Roman"/>
                <w:b/>
                <w:sz w:val="18"/>
                <w:szCs w:val="18"/>
                <w:lang w:eastAsia="pl-PL"/>
              </w:rPr>
              <w:t>Cel szczegółowy 3.1 Rozbudowa i poprawa standardu infrastruktury turystycznej i rekreacyjnej na obszarze LSR do 2023 roku</w:t>
            </w:r>
          </w:p>
        </w:tc>
      </w:tr>
      <w:tr>
        <w:trPr>
          <w:trHeight w:val="555" w:hRule="atLeast"/>
        </w:trPr>
        <w:tc>
          <w:tcPr>
            <w:tcW w:w="993" w:type="dxa"/>
            <w:vMerge w:val="restart"/>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3.1.1</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nowych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obiekty</w:t>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16,66</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37 500,00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150 000,00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221" w:hanging="0"/>
              <w:rPr>
                <w:rFonts w:ascii="Times New Roman" w:hAnsi="Times New Roman" w:cs="Times New Roman"/>
                <w:sz w:val="14"/>
                <w:szCs w:val="14"/>
                <w:lang w:eastAsia="pl-PL"/>
              </w:rPr>
            </w:pPr>
            <w:r>
              <w:rPr>
                <w:rFonts w:cs="Times New Roman" w:ascii="Times New Roman" w:hAnsi="Times New Roman"/>
                <w:sz w:val="14"/>
                <w:szCs w:val="14"/>
                <w:lang w:eastAsia="pl-PL"/>
              </w:rPr>
              <w:t>3  obiekty</w:t>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200 000,00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800 000,00 zł</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4 obiekty</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125 362,34 €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501 449,36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362 862,34 €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1 451 449,36 zł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t>PROW</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rHeight w:val="681"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obiekt</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50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12 500,00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50 000,00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 obiekt</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25 000,00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100 000,00 zł</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37 500,00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150 000,00 zł</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681"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16"/>
                <w:szCs w:val="16"/>
                <w:lang w:eastAsia="pl-PL"/>
              </w:rPr>
            </w:pPr>
            <w:r>
              <w:rPr>
                <w:rFonts w:cs="Times New Roman" w:ascii="Times New Roman" w:hAnsi="Times New Roman"/>
                <w:sz w:val="16"/>
                <w:szCs w:val="16"/>
              </w:rPr>
              <w:t>Liczba zamontowanych urządzeń małej architektury w ramach nowych i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24 sztuki</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23,81</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4"/>
                <w:szCs w:val="14"/>
                <w:lang w:eastAsia="pl-PL"/>
              </w:rPr>
            </w:pPr>
            <w:r>
              <w:rPr>
                <w:rFonts w:cs="Times New Roman" w:ascii="Times New Roman" w:hAnsi="Times New Roman"/>
                <w:sz w:val="14"/>
                <w:szCs w:val="14"/>
                <w:lang w:eastAsia="pl-PL"/>
              </w:rPr>
              <w:t>69 sztuk</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7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63" w:hRule="atLeast"/>
        </w:trPr>
        <w:tc>
          <w:tcPr>
            <w:tcW w:w="993" w:type="dxa"/>
            <w:vMerge w:val="restart"/>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Przedsięwzięcie 3.1.2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nowych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11 obiektów</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100 637,66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402 550,64 zł</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11</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100 637,66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402 550,64 zł</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63"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t>Liczba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 obiekty</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20 000,00 zł</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obiektów</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3</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 xml:space="preserve">5 000,00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20 000,00 zł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rHeight w:val="363" w:hRule="atLeast"/>
        </w:trPr>
        <w:tc>
          <w:tcPr>
            <w:tcW w:w="993" w:type="dxa"/>
            <w:vMerge w:val="continue"/>
            <w:tcBorders>
              <w:top w:val="single" w:sz="4" w:space="0" w:color="000000"/>
              <w:left w:val="single" w:sz="4" w:space="0" w:color="000000"/>
              <w:bottom w:val="single" w:sz="4" w:space="0" w:color="000000"/>
              <w:right w:val="single" w:sz="4" w:space="0" w:color="000000"/>
            </w:tcBorders>
            <w:shd w:fill="D6E3BC"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sz w:val="16"/>
                <w:szCs w:val="16"/>
                <w:lang w:eastAsia="pl-PL"/>
              </w:rPr>
            </w:pPr>
            <w:r>
              <w:rPr>
                <w:rFonts w:cs="Times New Roman" w:ascii="Times New Roman" w:hAnsi="Times New Roman"/>
                <w:sz w:val="16"/>
                <w:szCs w:val="16"/>
              </w:rPr>
              <w:t>Liczba zamontowanych urządzeń małej architektury w ramach nowych i przebudowanych obiektów infrastruktury turystycznej i rekreacyjnej</w:t>
            </w:r>
          </w:p>
        </w:tc>
        <w:tc>
          <w:tcPr>
            <w:tcW w:w="6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0 </w:t>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 zł</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95 sztuk</w:t>
            </w:r>
          </w:p>
        </w:tc>
        <w:tc>
          <w:tcPr>
            <w:tcW w:w="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0 sztuk</w:t>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100</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95</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0,00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cel szczegółowy 3.1</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50 000,00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eastAsia="Times New Roman" w:cs="Times New Roman" w:ascii="Times New Roman" w:hAnsi="Times New Roman"/>
                <w:sz w:val="16"/>
                <w:szCs w:val="16"/>
                <w:lang w:eastAsia="pl-PL"/>
              </w:rPr>
              <w:t xml:space="preserve"> </w:t>
            </w:r>
            <w:r>
              <w:rPr>
                <w:rFonts w:cs="Times New Roman" w:ascii="Times New Roman" w:hAnsi="Times New Roman"/>
                <w:sz w:val="16"/>
                <w:szCs w:val="16"/>
                <w:lang w:eastAsia="pl-PL"/>
              </w:rPr>
              <w:t>200 000,00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330 637,66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1 322 550,64zł</w:t>
            </w:r>
          </w:p>
        </w:tc>
        <w:tc>
          <w:tcPr>
            <w:tcW w:w="1559"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125 362,34 €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501 449,36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trike/>
                <w:sz w:val="16"/>
                <w:szCs w:val="16"/>
                <w:lang w:eastAsia="pl-PL"/>
              </w:rPr>
            </w:pPr>
            <w:r>
              <w:rPr>
                <w:rFonts w:cs="Times New Roman" w:ascii="Times New Roman" w:hAnsi="Times New Roman"/>
                <w:strike/>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506 000,00 €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2 024 000,00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C2D69B"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cel ogólny 3</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b/>
                <w:sz w:val="16"/>
                <w:szCs w:val="16"/>
                <w:lang w:eastAsia="pl-PL"/>
              </w:rPr>
              <w:t xml:space="preserve">50 000,00 </w:t>
            </w:r>
            <w:r>
              <w:rPr>
                <w:rFonts w:cs="Times New Roman" w:ascii="Times New Roman" w:hAnsi="Times New Roman"/>
                <w:sz w:val="16"/>
                <w:szCs w:val="16"/>
              </w:rPr>
              <w:t>€</w:t>
            </w:r>
            <w:r>
              <w:rPr>
                <w:rFonts w:cs="Times New Roman" w:ascii="Times New Roman" w:hAnsi="Times New Roman"/>
                <w:b/>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eastAsia="Times New Roman" w:cs="Times New Roman" w:ascii="Times New Roman" w:hAnsi="Times New Roman"/>
                <w:b/>
                <w:sz w:val="16"/>
                <w:szCs w:val="16"/>
                <w:lang w:eastAsia="pl-PL"/>
              </w:rPr>
              <w:t xml:space="preserve"> </w:t>
            </w:r>
            <w:r>
              <w:rPr>
                <w:rFonts w:cs="Times New Roman" w:ascii="Times New Roman" w:hAnsi="Times New Roman"/>
                <w:b/>
                <w:sz w:val="16"/>
                <w:szCs w:val="16"/>
                <w:lang w:eastAsia="pl-PL"/>
              </w:rPr>
              <w:t>200 000,00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330 637,66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1 322 550,64zł</w:t>
            </w:r>
          </w:p>
        </w:tc>
        <w:tc>
          <w:tcPr>
            <w:tcW w:w="1559"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125 362,34 €</w:t>
            </w:r>
          </w:p>
          <w:p>
            <w:pPr>
              <w:pStyle w:val="Normal"/>
              <w:spacing w:lineRule="auto" w:line="240" w:before="0" w:after="0"/>
              <w:jc w:val="right"/>
              <w:rPr>
                <w:rFonts w:ascii="Times New Roman" w:hAnsi="Times New Roman" w:cs="Times New Roman"/>
                <w:b/>
                <w:b/>
                <w:strike/>
                <w:sz w:val="16"/>
                <w:szCs w:val="16"/>
                <w:lang w:eastAsia="pl-PL"/>
              </w:rPr>
            </w:pPr>
            <w:r>
              <w:rPr>
                <w:rFonts w:cs="Times New Roman" w:ascii="Times New Roman" w:hAnsi="Times New Roman"/>
                <w:sz w:val="16"/>
                <w:szCs w:val="16"/>
                <w:lang w:eastAsia="pl-PL"/>
              </w:rPr>
              <w:t>501 449,36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trike/>
                <w:sz w:val="16"/>
                <w:szCs w:val="16"/>
                <w:lang w:eastAsia="pl-PL"/>
              </w:rPr>
            </w:pPr>
            <w:r>
              <w:rPr>
                <w:rFonts w:cs="Times New Roman" w:ascii="Times New Roman" w:hAnsi="Times New Roman"/>
                <w:b/>
                <w:strike/>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506 000,00 €</w:t>
            </w:r>
          </w:p>
          <w:p>
            <w:pPr>
              <w:pStyle w:val="Normal"/>
              <w:spacing w:lineRule="auto" w:line="240" w:before="0" w:after="0"/>
              <w:jc w:val="right"/>
              <w:rPr>
                <w:rFonts w:ascii="Times New Roman" w:hAnsi="Times New Roman" w:cs="Times New Roman"/>
                <w:b/>
                <w:b/>
                <w:strike/>
                <w:sz w:val="16"/>
                <w:szCs w:val="16"/>
                <w:lang w:eastAsia="pl-PL"/>
              </w:rPr>
            </w:pPr>
            <w:r>
              <w:rPr>
                <w:rFonts w:cs="Times New Roman" w:ascii="Times New Roman" w:hAnsi="Times New Roman"/>
                <w:sz w:val="16"/>
                <w:szCs w:val="16"/>
                <w:lang w:eastAsia="pl-PL"/>
              </w:rPr>
              <w:t>2 024 000,00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trike/>
                <w:sz w:val="16"/>
                <w:szCs w:val="16"/>
                <w:lang w:eastAsia="pl-PL"/>
              </w:rPr>
            </w:pPr>
            <w:r>
              <w:rPr>
                <w:rFonts w:cs="Times New Roman" w:ascii="Times New Roman" w:hAnsi="Times New Roman"/>
                <w:b/>
                <w:strike/>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2977" w:type="dxa"/>
            <w:gridSpan w:val="2"/>
            <w:tcBorders>
              <w:top w:val="single" w:sz="4" w:space="0" w:color="000000"/>
              <w:left w:val="single" w:sz="4" w:space="0" w:color="000000"/>
              <w:bottom w:val="single" w:sz="4" w:space="0" w:color="000000"/>
              <w:right w:val="single" w:sz="4" w:space="0" w:color="000000"/>
            </w:tcBorders>
            <w:shd w:fill="31849B" w:val="clear"/>
          </w:tcPr>
          <w:p>
            <w:pPr>
              <w:pStyle w:val="Normal"/>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t>Razem LSR</w:t>
            </w:r>
          </w:p>
        </w:tc>
        <w:tc>
          <w:tcPr>
            <w:tcW w:w="1531" w:type="dxa"/>
            <w:gridSpan w:val="2"/>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 xml:space="preserve">353 750 ,00 </w:t>
            </w:r>
            <w:r>
              <w:rPr>
                <w:rFonts w:cs="Times New Roman" w:ascii="Times New Roman" w:hAnsi="Times New Roman"/>
                <w:sz w:val="16"/>
                <w:szCs w:val="16"/>
              </w:rPr>
              <w:t>€</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1 415 000,00 zł</w:t>
            </w:r>
          </w:p>
        </w:tc>
        <w:tc>
          <w:tcPr>
            <w:tcW w:w="1672" w:type="dxa"/>
            <w:gridSpan w:val="4"/>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pPr>
            <w:r>
              <w:rPr>
                <w:rFonts w:cs="Times New Roman" w:ascii="Times New Roman" w:hAnsi="Times New Roman"/>
                <w:sz w:val="16"/>
                <w:szCs w:val="16"/>
                <w:lang w:eastAsia="pl-PL"/>
              </w:rPr>
              <w:t xml:space="preserve">1 157 606,55  </w:t>
            </w:r>
            <w:r>
              <w:rPr>
                <w:rFonts w:cs="Times New Roman" w:ascii="Times New Roman" w:hAnsi="Times New Roman"/>
                <w:sz w:val="16"/>
                <w:szCs w:val="16"/>
              </w:rPr>
              <w:t>€</w:t>
            </w:r>
            <w:r>
              <w:rPr>
                <w:rFonts w:cs="Times New Roman" w:ascii="Times New Roman" w:hAnsi="Times New Roman"/>
                <w:sz w:val="16"/>
                <w:szCs w:val="16"/>
                <w:lang w:eastAsia="pl-PL"/>
              </w:rPr>
              <w:t xml:space="preserve">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sz w:val="16"/>
                <w:szCs w:val="16"/>
                <w:lang w:eastAsia="pl-PL"/>
              </w:rPr>
              <w:t>4 630 426,20  zł</w:t>
            </w:r>
          </w:p>
        </w:tc>
        <w:tc>
          <w:tcPr>
            <w:tcW w:w="1559" w:type="dxa"/>
            <w:gridSpan w:val="3"/>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541 263,45 €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2 165 053,80 zł</w:t>
            </w:r>
            <w:r>
              <w:rPr>
                <w:rFonts w:cs="Times New Roman" w:ascii="Times New Roman" w:hAnsi="Times New Roman"/>
                <w:strike/>
                <w:sz w:val="16"/>
                <w:szCs w:val="16"/>
                <w:lang w:eastAsia="pl-PL"/>
              </w:rPr>
              <w:t xml:space="preserve"> </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trike/>
                <w:sz w:val="16"/>
                <w:szCs w:val="16"/>
                <w:lang w:eastAsia="pl-PL"/>
              </w:rPr>
            </w:pPr>
            <w:r>
              <w:rPr>
                <w:rFonts w:cs="Times New Roman" w:ascii="Times New Roman" w:hAnsi="Times New Roman"/>
                <w:b/>
                <w:strike/>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2 052 620,00  €</w:t>
            </w:r>
          </w:p>
          <w:p>
            <w:pPr>
              <w:pStyle w:val="Normal"/>
              <w:spacing w:lineRule="auto" w:line="240" w:before="0" w:after="0"/>
              <w:jc w:val="right"/>
              <w:rPr>
                <w:rFonts w:ascii="Times New Roman" w:hAnsi="Times New Roman" w:cs="Times New Roman"/>
                <w:b/>
                <w:b/>
                <w:sz w:val="16"/>
                <w:szCs w:val="16"/>
                <w:lang w:eastAsia="pl-PL"/>
              </w:rPr>
            </w:pPr>
            <w:r>
              <w:rPr>
                <w:rFonts w:cs="Times New Roman" w:ascii="Times New Roman" w:hAnsi="Times New Roman"/>
                <w:b/>
                <w:sz w:val="16"/>
                <w:szCs w:val="16"/>
                <w:lang w:eastAsia="pl-PL"/>
              </w:rPr>
              <w:t>8 210 480,00 zł</w:t>
            </w:r>
          </w:p>
        </w:tc>
        <w:tc>
          <w:tcPr>
            <w:tcW w:w="709"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b/>
                <w:b/>
                <w:sz w:val="16"/>
                <w:szCs w:val="16"/>
                <w:lang w:eastAsia="pl-PL"/>
              </w:rPr>
            </w:pPr>
            <w:r>
              <w:rPr>
                <w:rFonts w:cs="Times New Roman" w:ascii="Times New Roman" w:hAnsi="Times New Roman"/>
                <w:b/>
                <w:sz w:val="16"/>
                <w:szCs w:val="16"/>
                <w:lang w:eastAsia="pl-PL"/>
              </w:rPr>
            </w:r>
          </w:p>
        </w:tc>
        <w:tc>
          <w:tcPr>
            <w:tcW w:w="992" w:type="dxa"/>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r>
      <w:tr>
        <w:trPr/>
        <w:tc>
          <w:tcPr>
            <w:tcW w:w="13750" w:type="dxa"/>
            <w:gridSpan w:val="17"/>
            <w:tcBorders>
              <w:top w:val="single" w:sz="4" w:space="0" w:color="000000"/>
              <w:left w:val="single" w:sz="4" w:space="0" w:color="000000"/>
              <w:bottom w:val="single" w:sz="4" w:space="0" w:color="000000"/>
              <w:right w:val="single" w:sz="4" w:space="0" w:color="000000"/>
            </w:tcBorders>
            <w:shd w:fill="E5B8B7"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Razem planowane wsparcie na przedsięwzięcia dedykowane tworzeniu i utrzymaniu miejsc pracy w ramach poddziałania Realizacja LSR PROW</w:t>
            </w:r>
          </w:p>
        </w:tc>
        <w:tc>
          <w:tcPr>
            <w:tcW w:w="1701" w:type="dxa"/>
            <w:gridSpan w:val="2"/>
            <w:tcBorders>
              <w:top w:val="single" w:sz="4" w:space="0" w:color="000000"/>
              <w:left w:val="single" w:sz="4" w:space="0" w:color="000000"/>
              <w:bottom w:val="single" w:sz="4" w:space="0" w:color="000000"/>
              <w:right w:val="single" w:sz="4" w:space="0" w:color="000000"/>
            </w:tcBorders>
            <w:shd w:fill="E5B8B7" w:val="clear"/>
          </w:tcPr>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 budżetu poddziałania </w:t>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Realizacja LSR</w:t>
            </w:r>
          </w:p>
        </w:tc>
      </w:tr>
      <w:tr>
        <w:trPr/>
        <w:tc>
          <w:tcPr>
            <w:tcW w:w="12333" w:type="dxa"/>
            <w:gridSpan w:val="15"/>
            <w:tcBorders>
              <w:top w:val="single" w:sz="4" w:space="0" w:color="000000"/>
              <w:left w:val="single" w:sz="4" w:space="0" w:color="000000"/>
              <w:bottom w:val="single" w:sz="4" w:space="0" w:color="000000"/>
              <w:right w:val="single" w:sz="4" w:space="0" w:color="000000"/>
            </w:tcBorders>
            <w:shd w:fill="A6A6A6" w:val="clear"/>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854 000,00 €</w:t>
            </w:r>
          </w:p>
          <w:p>
            <w:pPr>
              <w:pStyle w:val="Normal"/>
              <w:spacing w:lineRule="auto" w:line="240" w:before="0" w:after="0"/>
              <w:jc w:val="right"/>
              <w:rPr>
                <w:rFonts w:ascii="Times New Roman" w:hAnsi="Times New Roman" w:cs="Times New Roman"/>
                <w:sz w:val="16"/>
                <w:szCs w:val="16"/>
                <w:lang w:eastAsia="pl-PL"/>
              </w:rPr>
            </w:pPr>
            <w:r>
              <w:rPr>
                <w:rFonts w:cs="Times New Roman" w:ascii="Times New Roman" w:hAnsi="Times New Roman"/>
                <w:sz w:val="16"/>
                <w:szCs w:val="16"/>
                <w:lang w:eastAsia="pl-PL"/>
              </w:rPr>
              <w:t>3 380 000,00 zł</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r>
          </w:p>
          <w:p>
            <w:pPr>
              <w:pStyle w:val="Normal"/>
              <w:spacing w:lineRule="auto" w:line="240" w:before="0" w:after="0"/>
              <w:rPr>
                <w:rFonts w:ascii="Times New Roman" w:hAnsi="Times New Roman" w:cs="Times New Roman"/>
                <w:sz w:val="16"/>
                <w:szCs w:val="16"/>
                <w:lang w:eastAsia="pl-PL"/>
              </w:rPr>
            </w:pPr>
            <w:r>
              <w:rPr>
                <w:rFonts w:cs="Times New Roman" w:ascii="Times New Roman" w:hAnsi="Times New Roman"/>
                <w:sz w:val="16"/>
                <w:szCs w:val="16"/>
                <w:lang w:eastAsia="pl-PL"/>
              </w:rPr>
              <w:t xml:space="preserve">53,60 </w:t>
            </w:r>
          </w:p>
        </w:tc>
      </w:tr>
    </w:tbl>
    <w:p>
      <w:pPr>
        <w:sectPr>
          <w:headerReference w:type="default" r:id="rId23"/>
          <w:footerReference w:type="default" r:id="rId24"/>
          <w:footnotePr>
            <w:numFmt w:val="decimal"/>
          </w:footnotePr>
          <w:type w:val="nextPage"/>
          <w:pgSz w:orient="landscape" w:w="16838" w:h="11906"/>
          <w:pgMar w:left="567" w:right="567" w:gutter="0" w:header="0" w:top="851" w:footer="284" w:bottom="567"/>
          <w:pgNumType w:fmt="decimal"/>
          <w:formProt w:val="false"/>
          <w:textDirection w:val="lrTb"/>
          <w:docGrid w:type="default" w:linePitch="299" w:charSpace="0"/>
        </w:sectPr>
        <w:pStyle w:val="Normal"/>
        <w:jc w:val="both"/>
        <w:rPr>
          <w:rFonts w:ascii="Arial" w:hAnsi="Arial" w:cs="Arial"/>
        </w:rPr>
      </w:pPr>
      <w:r>
        <w:rPr>
          <w:rFonts w:cs="Arial" w:ascii="Arial" w:hAnsi="Arial"/>
        </w:rPr>
      </w:r>
    </w:p>
    <w:p>
      <w:pPr>
        <w:pStyle w:val="Normal"/>
        <w:jc w:val="both"/>
        <w:rPr/>
      </w:pPr>
      <w:r>
        <w:rPr>
          <w:rFonts w:cs="Times New Roman" w:ascii="Times New Roman" w:hAnsi="Times New Roman"/>
          <w:b/>
          <w:sz w:val="24"/>
          <w:szCs w:val="24"/>
        </w:rPr>
        <w:t xml:space="preserve">Załącznik nr 4 do LSR - Budżet LSR w podziale na poszczególne fundusze EFSI i zakresy wsparcia </w:t>
        <w:br/>
        <w:t xml:space="preserve">tj. realizację operacji w ramach LSR, wdrażanie projektów współpracy, koszty bieżące i aktywizację, </w:t>
        <w:br/>
      </w:r>
      <w:r>
        <w:rPr/>
        <w:t>a w przypadku LSR współfinansowanych z EFRROW dodatkowo „Plan finansowy w zakresie poddziałania 19.2 PROW 2014-2020”</w:t>
      </w:r>
    </w:p>
    <w:tbl>
      <w:tblPr>
        <w:tblW w:w="10314" w:type="dxa"/>
        <w:jc w:val="center"/>
        <w:tblInd w:w="0" w:type="dxa"/>
        <w:tblLayout w:type="fixed"/>
        <w:tblCellMar>
          <w:top w:w="0" w:type="dxa"/>
          <w:left w:w="108" w:type="dxa"/>
          <w:bottom w:w="0" w:type="dxa"/>
          <w:right w:w="108" w:type="dxa"/>
        </w:tblCellMar>
      </w:tblPr>
      <w:tblGrid>
        <w:gridCol w:w="2689"/>
        <w:gridCol w:w="1842"/>
        <w:gridCol w:w="851"/>
        <w:gridCol w:w="992"/>
        <w:gridCol w:w="1134"/>
        <w:gridCol w:w="1105"/>
        <w:gridCol w:w="1701"/>
      </w:tblGrid>
      <w:tr>
        <w:trPr>
          <w:trHeight w:val="70" w:hRule="atLeast"/>
        </w:trPr>
        <w:tc>
          <w:tcPr>
            <w:tcW w:w="2689" w:type="dxa"/>
            <w:vMerge w:val="restart"/>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Zakres wsparcia</w:t>
            </w:r>
          </w:p>
        </w:tc>
        <w:tc>
          <w:tcPr>
            <w:tcW w:w="7625" w:type="dxa"/>
            <w:gridSpan w:val="6"/>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pPr>
            <w:r>
              <w:rPr>
                <w:rFonts w:cs="Times New Roman" w:ascii="Times New Roman" w:hAnsi="Times New Roman"/>
                <w:b/>
              </w:rPr>
              <w:t>Wsparcie finansowe (</w:t>
            </w:r>
            <w:r>
              <w:rPr>
                <w:rFonts w:cs="Times New Roman" w:ascii="Times New Roman" w:hAnsi="Times New Roman"/>
              </w:rPr>
              <w:t xml:space="preserve">€ i </w:t>
            </w:r>
            <w:r>
              <w:rPr>
                <w:rFonts w:cs="Times New Roman" w:ascii="Times New Roman" w:hAnsi="Times New Roman"/>
                <w:b/>
              </w:rPr>
              <w:t>PLN)</w:t>
            </w:r>
          </w:p>
        </w:tc>
      </w:tr>
      <w:tr>
        <w:trPr>
          <w:trHeight w:val="64" w:hRule="atLeast"/>
        </w:trPr>
        <w:tc>
          <w:tcPr>
            <w:tcW w:w="2689" w:type="dxa"/>
            <w:vMerge w:val="continue"/>
            <w:tcBorders>
              <w:top w:val="single" w:sz="4" w:space="0" w:color="000000"/>
              <w:left w:val="single" w:sz="4" w:space="0" w:color="000000"/>
              <w:bottom w:val="single" w:sz="4" w:space="0" w:color="000000"/>
              <w:right w:val="single" w:sz="4" w:space="0" w:color="000000"/>
            </w:tcBorders>
            <w:shd w:fill="FFFF99" w:val="clear"/>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842" w:type="dxa"/>
            <w:vMerge w:val="restart"/>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PROW</w:t>
            </w:r>
          </w:p>
        </w:tc>
        <w:tc>
          <w:tcPr>
            <w:tcW w:w="1843" w:type="dxa"/>
            <w:gridSpan w:val="2"/>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RPO</w:t>
            </w:r>
          </w:p>
        </w:tc>
        <w:tc>
          <w:tcPr>
            <w:tcW w:w="1134" w:type="dxa"/>
            <w:vMerge w:val="restart"/>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PO RYBY</w:t>
            </w:r>
          </w:p>
        </w:tc>
        <w:tc>
          <w:tcPr>
            <w:tcW w:w="1105" w:type="dxa"/>
            <w:vMerge w:val="restart"/>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Fundusz wiodący</w:t>
            </w:r>
          </w:p>
        </w:tc>
        <w:tc>
          <w:tcPr>
            <w:tcW w:w="1701" w:type="dxa"/>
            <w:vMerge w:val="restart"/>
            <w:tcBorders>
              <w:top w:val="single" w:sz="4" w:space="0" w:color="000000"/>
              <w:left w:val="single" w:sz="4" w:space="0" w:color="000000"/>
              <w:bottom w:val="single" w:sz="4" w:space="0" w:color="000000"/>
              <w:right w:val="single" w:sz="4" w:space="0" w:color="000000"/>
            </w:tcBorders>
            <w:shd w:fill="FFFF00"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 EFSI</w:t>
            </w:r>
          </w:p>
        </w:tc>
      </w:tr>
      <w:tr>
        <w:trPr>
          <w:trHeight w:val="70" w:hRule="atLeast"/>
        </w:trPr>
        <w:tc>
          <w:tcPr>
            <w:tcW w:w="2689" w:type="dxa"/>
            <w:vMerge w:val="continue"/>
            <w:tcBorders>
              <w:top w:val="single" w:sz="4" w:space="0" w:color="000000"/>
              <w:left w:val="single" w:sz="4" w:space="0" w:color="000000"/>
              <w:bottom w:val="single" w:sz="4" w:space="0" w:color="000000"/>
              <w:right w:val="single" w:sz="4" w:space="0" w:color="000000"/>
            </w:tcBorders>
            <w:shd w:fill="FFFF99" w:val="clear"/>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842" w:type="dxa"/>
            <w:vMerge w:val="continue"/>
            <w:tcBorders>
              <w:top w:val="single" w:sz="4" w:space="0" w:color="000000"/>
              <w:left w:val="single" w:sz="4" w:space="0" w:color="000000"/>
              <w:bottom w:val="single" w:sz="4" w:space="0" w:color="000000"/>
              <w:right w:val="single" w:sz="4" w:space="0" w:color="000000"/>
            </w:tcBorders>
            <w:shd w:fill="FFFF66" w:val="clear"/>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EFS</w:t>
            </w:r>
          </w:p>
        </w:tc>
        <w:tc>
          <w:tcPr>
            <w:tcW w:w="992" w:type="dxa"/>
            <w:tcBorders>
              <w:top w:val="single" w:sz="4" w:space="0" w:color="000000"/>
              <w:left w:val="single" w:sz="4" w:space="0" w:color="000000"/>
              <w:bottom w:val="single" w:sz="4" w:space="0" w:color="000000"/>
              <w:right w:val="single" w:sz="4" w:space="0" w:color="000000"/>
            </w:tcBorders>
            <w:shd w:fill="FFFF66"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EFRR</w:t>
            </w:r>
          </w:p>
        </w:tc>
        <w:tc>
          <w:tcPr>
            <w:tcW w:w="1134" w:type="dxa"/>
            <w:vMerge w:val="continue"/>
            <w:tcBorders>
              <w:top w:val="single" w:sz="4" w:space="0" w:color="000000"/>
              <w:left w:val="single" w:sz="4" w:space="0" w:color="000000"/>
              <w:bottom w:val="single" w:sz="4" w:space="0" w:color="000000"/>
              <w:right w:val="single" w:sz="4" w:space="0" w:color="000000"/>
            </w:tcBorders>
            <w:shd w:fill="FFFF66" w:val="clear"/>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105" w:type="dxa"/>
            <w:vMerge w:val="continue"/>
            <w:tcBorders>
              <w:top w:val="single" w:sz="4" w:space="0" w:color="000000"/>
              <w:left w:val="single" w:sz="4" w:space="0" w:color="000000"/>
              <w:bottom w:val="single" w:sz="4" w:space="0" w:color="000000"/>
              <w:right w:val="single" w:sz="4" w:space="0" w:color="000000"/>
            </w:tcBorders>
            <w:shd w:fill="FFFF66" w:val="clear"/>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701" w:type="dxa"/>
            <w:vMerge w:val="continue"/>
            <w:tcBorders>
              <w:top w:val="single" w:sz="4" w:space="0" w:color="000000"/>
              <w:left w:val="single" w:sz="4" w:space="0" w:color="000000"/>
              <w:bottom w:val="single" w:sz="4" w:space="0" w:color="000000"/>
              <w:right w:val="single" w:sz="4" w:space="0" w:color="000000"/>
            </w:tcBorders>
            <w:shd w:fill="FFFF00" w:val="clear"/>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Realizacja LSR</w:t>
            </w:r>
            <w:r>
              <w:rPr>
                <w:rFonts w:cs="Times New Roman" w:ascii="Times New Roman" w:hAnsi="Times New Roman"/>
              </w:rPr>
              <w:t xml:space="preserve"> (art. 35 ust. 1 lit. b rozporządzenia nr 1303/2013)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1 576 000,00 €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6 304 000,00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1 576 000,00 €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6 304 000,00zł</w:t>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Współpraca</w:t>
            </w:r>
            <w:r>
              <w:rPr>
                <w:rFonts w:cs="Times New Roman" w:ascii="Times New Roman" w:hAnsi="Times New Roman"/>
              </w:rPr>
              <w:t xml:space="preserve"> (art. 35 ust. 1 lit. c rozporządzenia nr 1303/2013)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125 000,00 €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500 000,00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rPr>
            </w:pPr>
            <w:r>
              <w:rPr>
                <w:rFonts w:cs="Times New Roman" w:ascii="Times New Roman" w:hAnsi="Times New Roman"/>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125 000,00 €</w:t>
            </w:r>
          </w:p>
          <w:p>
            <w:pPr>
              <w:pStyle w:val="Normal"/>
              <w:spacing w:lineRule="auto" w:line="276" w:before="60" w:after="160"/>
              <w:jc w:val="center"/>
              <w:rPr>
                <w:rFonts w:ascii="Times New Roman" w:hAnsi="Times New Roman" w:cs="Times New Roman"/>
              </w:rPr>
            </w:pPr>
            <w:r>
              <w:rPr>
                <w:rFonts w:cs="Times New Roman" w:ascii="Times New Roman" w:hAnsi="Times New Roman"/>
              </w:rPr>
              <w:t>500 000,00 zł</w:t>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Koszty bieżące</w:t>
            </w:r>
            <w:r>
              <w:rPr>
                <w:rFonts w:cs="Times New Roman" w:ascii="Times New Roman" w:hAnsi="Times New Roman"/>
              </w:rPr>
              <w:t xml:space="preserve"> (art. 35 ust. 1 lit. d rozporządzenia nr 1303/2013)</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rPr>
            </w:pPr>
            <w:r>
              <w:rPr>
                <w:rFonts w:cs="Times New Roman" w:ascii="Times New Roman" w:hAnsi="Times New Roman"/>
              </w:rPr>
              <w:t>351 620,00 €</w:t>
            </w:r>
          </w:p>
          <w:p>
            <w:pPr>
              <w:pStyle w:val="Normal"/>
              <w:spacing w:before="0" w:after="160"/>
              <w:jc w:val="center"/>
              <w:rPr>
                <w:rFonts w:ascii="Times New Roman" w:hAnsi="Times New Roman" w:cs="Times New Roman"/>
              </w:rPr>
            </w:pPr>
            <w:r>
              <w:rPr>
                <w:rFonts w:cs="Times New Roman" w:ascii="Times New Roman" w:hAnsi="Times New Roman"/>
              </w:rPr>
              <w:t>1 406 480,00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highlight w:val="yellow"/>
              </w:rPr>
            </w:pPr>
            <w:r>
              <w:rPr>
                <w:rFonts w:cs="Times New Roman" w:ascii="Times New Roman" w:hAnsi="Times New Roman"/>
              </w:rPr>
              <w:t>0</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rPr>
            </w:pPr>
            <w:r>
              <w:rPr>
                <w:rFonts w:cs="Times New Roman" w:ascii="Times New Roman" w:hAnsi="Times New Roman"/>
              </w:rPr>
              <w:t>351 620,00 €</w:t>
            </w:r>
          </w:p>
          <w:p>
            <w:pPr>
              <w:pStyle w:val="Normal"/>
              <w:spacing w:before="0" w:after="160"/>
              <w:jc w:val="center"/>
              <w:rPr>
                <w:rFonts w:ascii="Times New Roman" w:hAnsi="Times New Roman" w:cs="Times New Roman"/>
              </w:rPr>
            </w:pPr>
            <w:r>
              <w:rPr>
                <w:rFonts w:cs="Times New Roman" w:ascii="Times New Roman" w:hAnsi="Times New Roman"/>
              </w:rPr>
              <w:t>1 406 480,00 zł</w:t>
            </w:r>
          </w:p>
        </w:tc>
      </w:tr>
      <w:tr>
        <w:trPr/>
        <w:tc>
          <w:tcPr>
            <w:tcW w:w="2689" w:type="dxa"/>
            <w:tcBorders>
              <w:top w:val="single" w:sz="4" w:space="0" w:color="000000"/>
              <w:left w:val="single" w:sz="4" w:space="0" w:color="000000"/>
              <w:bottom w:val="single" w:sz="4" w:space="0" w:color="000000"/>
              <w:right w:val="single" w:sz="4" w:space="0" w:color="000000"/>
            </w:tcBorders>
            <w:shd w:fill="FFFF99" w:val="clear"/>
            <w:vAlign w:val="center"/>
          </w:tcPr>
          <w:p>
            <w:pPr>
              <w:pStyle w:val="Normal"/>
              <w:spacing w:lineRule="auto" w:line="276" w:before="60" w:after="160"/>
              <w:jc w:val="center"/>
              <w:rPr/>
            </w:pPr>
            <w:r>
              <w:rPr>
                <w:rFonts w:cs="Times New Roman" w:ascii="Times New Roman" w:hAnsi="Times New Roman"/>
                <w:b/>
              </w:rPr>
              <w:t>Aktywizacja</w:t>
            </w:r>
            <w:r>
              <w:rPr>
                <w:rFonts w:cs="Times New Roman" w:ascii="Times New Roman" w:hAnsi="Times New Roman"/>
              </w:rPr>
              <w:t xml:space="preserve"> (art. 35 ust. 1 lit. e rozporządzenia nr 1303/2013)</w:t>
            </w:r>
          </w:p>
        </w:tc>
        <w:tc>
          <w:tcPr>
            <w:tcW w:w="18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jc w:val="center"/>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r>
      <w:tr>
        <w:trPr/>
        <w:tc>
          <w:tcPr>
            <w:tcW w:w="2689"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2 052 620,00 €</w:t>
            </w:r>
          </w:p>
          <w:p>
            <w:pPr>
              <w:pStyle w:val="Normal"/>
              <w:spacing w:lineRule="auto" w:line="276" w:before="60" w:after="160"/>
              <w:jc w:val="center"/>
              <w:rPr>
                <w:rFonts w:ascii="Times New Roman" w:hAnsi="Times New Roman" w:cs="Times New Roman"/>
              </w:rPr>
            </w:pPr>
            <w:r>
              <w:rPr>
                <w:rFonts w:cs="Times New Roman" w:ascii="Times New Roman" w:hAnsi="Times New Roman"/>
              </w:rPr>
              <w:t>8 210 480,00 zł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rPr>
            </w:pPr>
            <w:r>
              <w:rPr>
                <w:rFonts w:cs="Times New Roman" w:ascii="Times New Roman" w:hAnsi="Times New Roman"/>
              </w:rPr>
              <w:t>2 052 620,00 €</w:t>
            </w:r>
          </w:p>
          <w:p>
            <w:pPr>
              <w:pStyle w:val="Normal"/>
              <w:spacing w:lineRule="auto" w:line="276" w:before="60" w:after="160"/>
              <w:jc w:val="center"/>
              <w:rPr>
                <w:rFonts w:ascii="Times New Roman" w:hAnsi="Times New Roman" w:cs="Times New Roman"/>
              </w:rPr>
            </w:pPr>
            <w:r>
              <w:rPr>
                <w:rFonts w:cs="Times New Roman" w:ascii="Times New Roman" w:hAnsi="Times New Roman"/>
              </w:rPr>
              <w:t>8 210 480,00 zł</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0"/>
        <w:jc w:val="both"/>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tbl>
      <w:tblPr>
        <w:tblW w:w="10343" w:type="dxa"/>
        <w:jc w:val="left"/>
        <w:tblInd w:w="-113" w:type="dxa"/>
        <w:tblLayout w:type="fixed"/>
        <w:tblCellMar>
          <w:top w:w="0" w:type="dxa"/>
          <w:left w:w="108" w:type="dxa"/>
          <w:bottom w:w="0" w:type="dxa"/>
          <w:right w:w="108" w:type="dxa"/>
        </w:tblCellMar>
      </w:tblPr>
      <w:tblGrid>
        <w:gridCol w:w="2508"/>
        <w:gridCol w:w="1697"/>
        <w:gridCol w:w="1695"/>
        <w:gridCol w:w="2742"/>
        <w:gridCol w:w="1701"/>
      </w:tblGrid>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Wkład EFRROW</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Budżet państwa</w:t>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Wkład własny będący wkładem krajowych środków publicznych</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w:t>
            </w:r>
          </w:p>
        </w:tc>
      </w:tr>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Beneficjenci inni niż jednostki sektora finansów publicznych</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604 485,00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2 417 940,00 zł</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345 515,00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1 382 060,00 zł</w:t>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950 000,00 </w:t>
            </w:r>
            <w:r>
              <w:rPr>
                <w:rFonts w:cs="Times New Roman" w:ascii="Times New Roman" w:hAnsi="Times New Roman"/>
              </w:rPr>
              <w:t>€</w:t>
            </w:r>
          </w:p>
          <w:p>
            <w:pPr>
              <w:pStyle w:val="Normal"/>
              <w:spacing w:lineRule="auto" w:line="276" w:before="60" w:after="160"/>
              <w:rPr>
                <w:rFonts w:ascii="Times New Roman" w:hAnsi="Times New Roman" w:cs="Times New Roman"/>
                <w:b/>
                <w:b/>
              </w:rPr>
            </w:pPr>
            <w:r>
              <w:rPr>
                <w:rFonts w:cs="Times New Roman" w:ascii="Times New Roman" w:hAnsi="Times New Roman"/>
                <w:b/>
              </w:rPr>
              <w:t>3 800 000,00 zł</w:t>
            </w:r>
          </w:p>
        </w:tc>
      </w:tr>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Beneficjenci będący jednostkami sektora finansów publicznych</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190 890,00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763 560,00 zł</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before="60" w:after="160"/>
              <w:jc w:val="center"/>
              <w:rPr>
                <w:rFonts w:ascii="Times New Roman" w:hAnsi="Times New Roman" w:cs="Times New Roman"/>
                <w:b/>
                <w:b/>
              </w:rPr>
            </w:pPr>
            <w:r>
              <w:rPr>
                <w:rFonts w:cs="Times New Roman" w:ascii="Times New Roman" w:hAnsi="Times New Roman"/>
                <w:b/>
              </w:rPr>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109 110,00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436 440,00 zł</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300 000,00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1 200 000,00 zł</w:t>
            </w:r>
          </w:p>
        </w:tc>
      </w:tr>
      <w:tr>
        <w:trPr/>
        <w:tc>
          <w:tcPr>
            <w:tcW w:w="25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Razem</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795 375,00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3 181 500,00 zł</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345 515,00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1 382 060,00 zł</w:t>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109 110,00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436 440,00 zł</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before="60" w:after="160"/>
              <w:jc w:val="center"/>
              <w:rPr>
                <w:rFonts w:ascii="Times New Roman" w:hAnsi="Times New Roman" w:cs="Times New Roman"/>
                <w:b/>
                <w:b/>
              </w:rPr>
            </w:pPr>
            <w:r>
              <w:rPr>
                <w:rFonts w:cs="Times New Roman" w:ascii="Times New Roman" w:hAnsi="Times New Roman"/>
                <w:b/>
              </w:rPr>
              <w:t xml:space="preserve">1 250 000,00 </w:t>
            </w:r>
            <w:r>
              <w:rPr>
                <w:rFonts w:cs="Times New Roman" w:ascii="Times New Roman" w:hAnsi="Times New Roman"/>
              </w:rPr>
              <w:t>€</w:t>
            </w:r>
          </w:p>
          <w:p>
            <w:pPr>
              <w:pStyle w:val="Normal"/>
              <w:spacing w:lineRule="auto" w:line="276" w:before="60" w:after="160"/>
              <w:jc w:val="center"/>
              <w:rPr>
                <w:rFonts w:ascii="Times New Roman" w:hAnsi="Times New Roman" w:cs="Times New Roman"/>
                <w:b/>
                <w:b/>
              </w:rPr>
            </w:pPr>
            <w:r>
              <w:rPr>
                <w:rFonts w:cs="Times New Roman" w:ascii="Times New Roman" w:hAnsi="Times New Roman"/>
                <w:b/>
              </w:rPr>
              <w:t>5 000 000,00 zł</w:t>
            </w:r>
          </w:p>
        </w:tc>
      </w:tr>
    </w:tbl>
    <w:p>
      <w:pPr>
        <w:pStyle w:val="Normal"/>
        <w:spacing w:lineRule="auto" w:line="240" w:before="60" w:after="0"/>
        <w:jc w:val="both"/>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p>
      <w:pPr>
        <w:sectPr>
          <w:headerReference w:type="default" r:id="rId25"/>
          <w:footerReference w:type="default" r:id="rId26"/>
          <w:footnotePr>
            <w:numFmt w:val="decimal"/>
          </w:footnotePr>
          <w:type w:val="nextPage"/>
          <w:pgSz w:w="11906" w:h="16838"/>
          <w:pgMar w:left="851" w:right="567" w:gutter="0" w:header="0" w:top="567" w:footer="283" w:bottom="567"/>
          <w:pgNumType w:fmt="decimal"/>
          <w:formProt w:val="false"/>
          <w:textDirection w:val="lrTb"/>
          <w:docGrid w:type="default" w:linePitch="299" w:charSpace="0"/>
        </w:sectPr>
        <w:pStyle w:val="Normal"/>
        <w:spacing w:lineRule="auto" w:line="240" w:before="60" w:after="0"/>
        <w:jc w:val="both"/>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t>Załącznik nr 5 do LSR – Plan komunikacji</w:t>
      </w:r>
    </w:p>
    <w:p>
      <w:pPr>
        <w:pStyle w:val="Normal"/>
        <w:spacing w:lineRule="auto" w:line="240" w:before="60" w:after="0"/>
        <w:rPr>
          <w:rFonts w:ascii="Times New Roman" w:hAnsi="Times New Roman" w:cs="Times New Roman"/>
          <w:b/>
          <w:b/>
          <w:sz w:val="24"/>
          <w:szCs w:val="24"/>
        </w:rPr>
      </w:pPr>
      <w:r>
        <w:rPr>
          <w:rFonts w:cs="Times New Roman" w:ascii="Times New Roman" w:hAnsi="Times New Roman"/>
          <w:b/>
          <w:sz w:val="24"/>
          <w:szCs w:val="24"/>
        </w:rPr>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By komunikacja LGD 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odpowiedniego komunikatu do adresatów, by pozytywnie wpłynąć na jakość i ilość składanych projektów, gdyż tę kwestię w poprzednim okresie uznano za najbardziej problematyczną. W planie komunikacji  szczegółowo określono grupy docelowe, ustalono cele i wskaźniki, jakie LGD chce osiągnąć, narzędzia i podejmowane działania oraz sposoby monitorowanie i reakcji na sytuacje kryzysowe. LGD jest przekonane, że zaplanowane działania przyczynią się do realizacji LSR 2014-2020, sprawią, że komunikacja będzie sprawniejsza. </w:t>
      </w:r>
    </w:p>
    <w:p>
      <w:pPr>
        <w:pStyle w:val="BezformatowaniaAA"/>
        <w:rPr>
          <w:rFonts w:ascii="Times New Roman" w:hAnsi="Times New Roman" w:cs="Times New Roman"/>
          <w:sz w:val="24"/>
          <w:szCs w:val="24"/>
        </w:rPr>
      </w:pPr>
      <w:r>
        <w:rPr>
          <w:rFonts w:cs="Times New Roman" w:ascii="Times New Roman" w:hAnsi="Times New Roman"/>
          <w:sz w:val="24"/>
          <w:szCs w:val="24"/>
        </w:rPr>
        <w:t>Cele</w:t>
      </w:r>
    </w:p>
    <w:p>
      <w:pPr>
        <w:pStyle w:val="BezformatowaniaAA"/>
        <w:rPr>
          <w:rFonts w:ascii="Times New Roman" w:hAnsi="Times New Roman" w:cs="Times New Roman"/>
          <w:sz w:val="24"/>
          <w:szCs w:val="24"/>
        </w:rPr>
      </w:pPr>
      <w:r>
        <w:rPr>
          <w:rFonts w:cs="Times New Roman" w:ascii="Times New Roman" w:hAnsi="Times New Roman"/>
          <w:sz w:val="24"/>
          <w:szCs w:val="24"/>
        </w:rPr>
        <w:t>By efektywnie prowadzić działania komunikacyjne i móc zweryfikować jej efekty, jasno określono cztery cele planu komunikacyjnego, które zaprezentowano w poniższej tabeli. Realizacja wszystkich czterech celów podkreśla najważniejsze obszary interwencji w zakresie komunikacji. Do realizacji ustalonych celów prowadzić ma podejmowanie określonych działań i wykorzystywane w ramach nich odpowiednich narzędzi komunikacji. Komplet działań powstał na podstawie analizy charakterystyki i potrzeb zdefiniowanych w dalszej części grup docelowych, przy zachowaniu narzędzi umożliwiających komunikację dwustronną.</w:t>
      </w:r>
    </w:p>
    <w:p>
      <w:pPr>
        <w:pStyle w:val="BezformatowaniaAA"/>
        <w:rPr>
          <w:rFonts w:ascii="Times New Roman" w:hAnsi="Times New Roman" w:cs="Times New Roman"/>
          <w:sz w:val="24"/>
          <w:szCs w:val="24"/>
        </w:rPr>
      </w:pPr>
      <w:r>
        <w:rPr>
          <w:rFonts w:cs="Times New Roman" w:ascii="Times New Roman" w:hAnsi="Times New Roman"/>
          <w:sz w:val="24"/>
          <w:szCs w:val="24"/>
        </w:rPr>
        <w:t>Nadrzędnym celem jest podniesienie ilości oraz jakość projektów zgłaszanych do LGD, poprzez zwiększenie skali działań promocyjnych z zakresu promocji ogłaszanych konkursów, zasad, kryteriów i oceny projektów składanych w ramach środków LGD. Ponadto cel główny ma zagwarantować aktywne uczestnictwo mieszkańców w procesie realizacji LSR.</w:t>
      </w:r>
    </w:p>
    <w:tbl>
      <w:tblPr>
        <w:tblW w:w="10353" w:type="dxa"/>
        <w:jc w:val="left"/>
        <w:tblInd w:w="-10" w:type="dxa"/>
        <w:tblLayout w:type="fixed"/>
        <w:tblCellMar>
          <w:top w:w="0" w:type="dxa"/>
          <w:left w:w="0" w:type="dxa"/>
          <w:bottom w:w="0" w:type="dxa"/>
          <w:right w:w="0" w:type="dxa"/>
        </w:tblCellMar>
      </w:tblPr>
      <w:tblGrid>
        <w:gridCol w:w="484"/>
        <w:gridCol w:w="9869"/>
      </w:tblGrid>
      <w:tr>
        <w:trPr>
          <w:tblHeader w:val="true"/>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b w:val="false"/>
                <w:b w:val="false"/>
                <w:szCs w:val="24"/>
              </w:rPr>
            </w:pPr>
            <w:r>
              <w:rPr>
                <w:rFonts w:cs="Times New Roman" w:ascii="Times New Roman" w:hAnsi="Times New Roman"/>
                <w:b w:val="false"/>
                <w:szCs w:val="24"/>
              </w:rPr>
              <w:t>LP</w:t>
            </w:r>
          </w:p>
        </w:tc>
        <w:tc>
          <w:tcPr>
            <w:tcW w:w="9869" w:type="dxa"/>
            <w:tcBorders>
              <w:top w:val="single" w:sz="8" w:space="0" w:color="000000"/>
              <w:left w:val="single" w:sz="8" w:space="0" w:color="000000"/>
              <w:bottom w:val="single" w:sz="8" w:space="0" w:color="000000"/>
              <w:right w:val="single" w:sz="8" w:space="0" w:color="000000"/>
            </w:tcBorders>
            <w:vAlign w:val="center"/>
          </w:tcPr>
          <w:p>
            <w:pPr>
              <w:pStyle w:val="Nagwek2A"/>
              <w:spacing w:before="60" w:after="0"/>
              <w:jc w:val="center"/>
              <w:rPr>
                <w:rFonts w:ascii="Times New Roman" w:hAnsi="Times New Roman" w:cs="Times New Roman"/>
                <w:szCs w:val="24"/>
              </w:rPr>
            </w:pPr>
            <w:r>
              <w:rPr>
                <w:rFonts w:cs="Times New Roman" w:ascii="Times New Roman" w:hAnsi="Times New Roman"/>
                <w:szCs w:val="24"/>
              </w:rPr>
              <w:t>CELE</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Promowanie działań konkursowych prowadzonych przez LGD, ze szczególnym uwzględnieniem zasad przyznawania środków, kryteriów oceny projektów oraz celów strategii.</w:t>
            </w:r>
          </w:p>
        </w:tc>
      </w:tr>
      <w:tr>
        <w:trPr>
          <w:trHeight w:val="68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dobrych praktykach, zaprezentowanie zrealizowanych projektów objętych dofinansowaniem ze środków LGD.</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 xml:space="preserve">Promocja stowarzyszenia oraz prowadzonych przez LGD działań statutowych. </w:t>
            </w:r>
          </w:p>
        </w:tc>
      </w:tr>
      <w:tr>
        <w:trPr>
          <w:trHeight w:val="440" w:hRule="atLeast"/>
          <w:cantSplit w:val="true"/>
        </w:trPr>
        <w:tc>
          <w:tcPr>
            <w:tcW w:w="484"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szCs w:val="24"/>
              </w:rPr>
            </w:pPr>
            <w:r>
              <w:rPr>
                <w:rFonts w:cs="Times New Roman"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A"/>
              <w:tabs>
                <w:tab w:val="clear" w:pos="720"/>
                <w:tab w:val="left" w:pos="500" w:leader="none"/>
              </w:tabs>
              <w:spacing w:before="60" w:after="0"/>
              <w:ind w:firstLine="220"/>
              <w:jc w:val="center"/>
              <w:rPr>
                <w:rFonts w:ascii="Times New Roman" w:hAnsi="Times New Roman" w:cs="Times New Roman"/>
                <w:sz w:val="24"/>
                <w:szCs w:val="24"/>
              </w:rPr>
            </w:pPr>
            <w:r>
              <w:rPr>
                <w:rFonts w:cs="Times New Roman" w:ascii="Times New Roman" w:hAnsi="Times New Roman"/>
                <w:sz w:val="24"/>
                <w:szCs w:val="24"/>
              </w:rPr>
              <w:t>Informowanie o postępach w realizacji LSR.</w:t>
            </w:r>
          </w:p>
        </w:tc>
      </w:tr>
    </w:tbl>
    <w:p>
      <w:pPr>
        <w:pStyle w:val="BezformatowaniaAA"/>
        <w:rPr>
          <w:rFonts w:ascii="Times New Roman" w:hAnsi="Times New Roman" w:cs="Times New Roman"/>
          <w:sz w:val="24"/>
          <w:szCs w:val="24"/>
        </w:rPr>
      </w:pPr>
      <w:r>
        <w:rPr>
          <w:rFonts w:cs="Times New Roman" w:ascii="Times New Roman" w:hAnsi="Times New Roman"/>
          <w:sz w:val="24"/>
          <w:szCs w:val="24"/>
        </w:rPr>
        <w:t>Tło komunikacji.</w:t>
      </w:r>
    </w:p>
    <w:p>
      <w:pPr>
        <w:pStyle w:val="BezformatowaniaAA"/>
        <w:rPr>
          <w:rFonts w:ascii="Times New Roman" w:hAnsi="Times New Roman" w:cs="Times New Roman"/>
          <w:sz w:val="24"/>
          <w:szCs w:val="24"/>
        </w:rPr>
      </w:pPr>
      <w:r>
        <w:rPr>
          <w:rFonts w:cs="Times New Roman" w:ascii="Times New Roman" w:hAnsi="Times New Roman"/>
          <w:sz w:val="24"/>
          <w:szCs w:val="24"/>
        </w:rPr>
        <w:t>Tłem komunikacji prowadzonej przez LGD jest zróżnicowanie grup docelowych emitowanych informacji. Partnerzy z sektora gospodarczego, pracownicy gmin będących członkami stowarzyszenia, przedstawiciele organizacji pozarządowych oraz cała lokalna społeczność to odmienne i mocno zróżnicowane grupy. Dzięki widocznym efektom działania stowarzyszenia w poprzednich latach zainteresowanie działaniem LGD i zapotrzebowanie na informację dynamicznie wzrasta, grupa zatem musi temu sprostać.</w:t>
      </w:r>
    </w:p>
    <w:p>
      <w:pPr>
        <w:pStyle w:val="BezformatowaniaAA"/>
        <w:rPr>
          <w:rFonts w:ascii="Times New Roman" w:hAnsi="Times New Roman" w:cs="Times New Roman"/>
          <w:sz w:val="24"/>
          <w:szCs w:val="24"/>
        </w:rPr>
      </w:pPr>
      <w:r>
        <w:rPr>
          <w:rFonts w:cs="Times New Roman" w:ascii="Times New Roman" w:hAnsi="Times New Roman"/>
          <w:sz w:val="24"/>
          <w:szCs w:val="24"/>
        </w:rPr>
        <w:t>Adresaci (grupy docelowe).</w:t>
      </w:r>
    </w:p>
    <w:p>
      <w:pPr>
        <w:pStyle w:val="BezformatowaniaAA"/>
        <w:rPr/>
      </w:pPr>
      <w:r>
        <w:rPr/>
        <w:t>By komunikacja w odpowiedniej formie docierała do grup, które LGD wskazało jako swoich odbiorców, wyszczególniono 10 grup docelowych komunikacji wraz z opisem dedykowanych im środków przekazu.</w:t>
      </w:r>
    </w:p>
    <w:tbl>
      <w:tblPr>
        <w:tblW w:w="10353" w:type="dxa"/>
        <w:jc w:val="left"/>
        <w:tblInd w:w="-10" w:type="dxa"/>
        <w:tblLayout w:type="fixed"/>
        <w:tblCellMar>
          <w:top w:w="0" w:type="dxa"/>
          <w:left w:w="0" w:type="dxa"/>
          <w:bottom w:w="0" w:type="dxa"/>
          <w:right w:w="0" w:type="dxa"/>
        </w:tblCellMar>
      </w:tblPr>
      <w:tblGrid>
        <w:gridCol w:w="10353"/>
      </w:tblGrid>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tabs>
                <w:tab w:val="clear" w:pos="708"/>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before="60" w:after="0"/>
              <w:rPr/>
            </w:pPr>
            <w:r>
              <w:rPr>
                <w:rFonts w:cs="Times New Roman" w:ascii="Times New Roman" w:hAnsi="Times New Roman"/>
                <w:b/>
                <w:color w:val="000000"/>
                <w:szCs w:val="24"/>
              </w:rPr>
              <w:t>1. SPOŁECZNOŚĆ LOKALNA</w:t>
            </w:r>
            <w:r>
              <w:rPr>
                <w:rFonts w:cs="Times New Roman" w:ascii="Times New Roman" w:hAnsi="Times New Roman"/>
                <w:color w:val="000000"/>
                <w:szCs w:val="24"/>
              </w:rPr>
              <w:t xml:space="preserve"> - wszyscy mieszkańcy obszaru LGD</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 xml:space="preserve">informowana poprzez: środki o szerokim zasięgu (media lokalne, prasa), ogłoszenia w miejscach spotkań społeczności lokalnej, </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2. TRZECI SEKTOR SPOŁECZEŃSTWA OBYWATELSKIEGO</w:t>
            </w:r>
            <w:r>
              <w:rPr>
                <w:rFonts w:cs="Times New Roman" w:ascii="Times New Roman" w:hAnsi="Times New Roman"/>
                <w:color w:val="000000"/>
                <w:szCs w:val="24"/>
              </w:rPr>
              <w:t xml:space="preserve"> - organizacje pozarządowe i podmioty ekonomii społecznej, stowarzyszenia, fundacje, związki stowarzyszeń, CIS, WTZ, ZAZ</w:t>
            </w:r>
          </w:p>
        </w:tc>
      </w:tr>
      <w:tr>
        <w:trPr>
          <w:trHeight w:val="92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przekazywanie informacji pracownikom urzędów gmin/miast zajmujących się organizacjami pozarządowymi,</w:t>
            </w:r>
          </w:p>
          <w:p>
            <w:pPr>
              <w:pStyle w:val="BezformatowaniaAA"/>
              <w:tabs>
                <w:tab w:val="clear" w:pos="720"/>
                <w:tab w:val="left" w:pos="260" w:leader="none"/>
              </w:tabs>
              <w:jc w:val="left"/>
              <w:rPr>
                <w:rFonts w:ascii="Times New Roman" w:hAnsi="Times New Roman" w:cs="Times New Roman"/>
                <w:color w:val="000000"/>
                <w:sz w:val="24"/>
                <w:szCs w:val="24"/>
              </w:rPr>
            </w:pPr>
            <w:r>
              <w:rPr>
                <w:rFonts w:cs="Times New Roman" w:ascii="Times New Roman" w:hAnsi="Times New Roman"/>
                <w:color w:val="000000"/>
                <w:sz w:val="24"/>
                <w:szCs w:val="24"/>
              </w:rPr>
              <w:t>informacje przekazywane poprzez środki o szerokim zasięgu (media lokalne, prasa), ogłoszenia w miejscach spotkań społeczności lokalnej,</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3. LOKALNI</w:t>
            </w:r>
            <w:r>
              <w:rPr>
                <w:rFonts w:cs="Times New Roman" w:ascii="Times New Roman" w:hAnsi="Times New Roman"/>
                <w:color w:val="000000"/>
                <w:szCs w:val="24"/>
              </w:rPr>
              <w:t xml:space="preserve"> </w:t>
            </w:r>
            <w:r>
              <w:rPr>
                <w:rFonts w:cs="Times New Roman" w:ascii="Times New Roman" w:hAnsi="Times New Roman"/>
                <w:b/>
                <w:color w:val="000000"/>
                <w:szCs w:val="24"/>
              </w:rPr>
              <w:t>LIDERZY</w:t>
            </w:r>
            <w:r>
              <w:rPr>
                <w:rFonts w:cs="Times New Roman" w:ascii="Times New Roman" w:hAnsi="Times New Roman"/>
                <w:color w:val="000000"/>
                <w:szCs w:val="24"/>
              </w:rPr>
              <w:t xml:space="preserve"> - sołtysi, członkowie rad sołeckich, członkowie grup nieformalnych, zrzeszeń, lokalni aktywiści</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spotkania informacyjne, szkolenia, przekazywanie informacji pracownikom urzędów gmin/miast zajmujących się organizacjami pozarządowymi i obsługującymi fundusz sołecki</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4. SEKTOR PUBLICZNY</w:t>
            </w:r>
            <w:r>
              <w:rPr>
                <w:rFonts w:cs="Times New Roman" w:ascii="Times New Roman" w:hAnsi="Times New Roman"/>
                <w:color w:val="000000"/>
                <w:szCs w:val="24"/>
              </w:rPr>
              <w:t xml:space="preserve"> - przedstawiciele sektora publicznego, w tym JST (pracownicy sektora publicznego, gmin, powiatów) </w:t>
            </w:r>
          </w:p>
        </w:tc>
      </w:tr>
      <w:tr>
        <w:trPr>
          <w:trHeight w:val="44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rPr>
                <w:rFonts w:ascii="Times New Roman" w:hAnsi="Times New Roman" w:cs="Times New Roman"/>
                <w:color w:val="000000"/>
                <w:sz w:val="24"/>
                <w:szCs w:val="24"/>
              </w:rPr>
            </w:pPr>
            <w:r>
              <w:rPr>
                <w:rFonts w:cs="Times New Roman" w:ascii="Times New Roman" w:hAnsi="Times New Roman"/>
                <w:color w:val="000000"/>
                <w:sz w:val="24"/>
                <w:szCs w:val="24"/>
              </w:rPr>
              <w:t>komunikacja poprzez spotkania informacyjne we wszystkich gminach,</w:t>
            </w:r>
          </w:p>
        </w:tc>
      </w:tr>
      <w:tr>
        <w:trPr>
          <w:trHeight w:val="70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5. SEKTOR GOSPODARCZY</w:t>
            </w:r>
            <w:r>
              <w:rPr>
                <w:rFonts w:cs="Times New Roman" w:ascii="Times New Roman" w:hAnsi="Times New Roman"/>
                <w:color w:val="000000"/>
                <w:szCs w:val="24"/>
              </w:rPr>
              <w:t xml:space="preserve"> - w rozumieniu ustawy o swobodzie prowadzenia działalności gospodarczej, organizacje zrzeszające przedsiębiorców</w:t>
            </w:r>
          </w:p>
        </w:tc>
      </w:tr>
      <w:tr>
        <w:trPr>
          <w:trHeight w:val="44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dedykowane przedsiębiorcom spotkania informacyjne i szkolenia,</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6. CZŁONKOWIE STOWARZYSZENIA</w:t>
            </w:r>
            <w:r>
              <w:rPr>
                <w:rFonts w:cs="Times New Roman" w:ascii="Times New Roman" w:hAnsi="Times New Roman"/>
                <w:color w:val="000000"/>
                <w:szCs w:val="24"/>
              </w:rPr>
              <w:t xml:space="preserve"> - wszyscy będący na liście członków LGD</w:t>
            </w:r>
          </w:p>
        </w:tc>
      </w:tr>
      <w:tr>
        <w:trPr>
          <w:trHeight w:val="44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informowani poprzez cykliczne zebrania członków stowarzyszenia i aktywnie działającą listę mailingową,</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 xml:space="preserve">7. GRUPA DEFAWORYZOWANA – OSOBY MŁODE </w:t>
            </w:r>
            <w:r>
              <w:rPr>
                <w:rFonts w:cs="Times New Roman" w:ascii="Times New Roman" w:hAnsi="Times New Roman"/>
                <w:color w:val="000000"/>
                <w:szCs w:val="24"/>
              </w:rPr>
              <w:t>- osoby do 35. roku życia</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 xml:space="preserve">informowane poprzez: internet, w tym zwłaszcza media społecznościowe, </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rFonts w:ascii="Times New Roman" w:hAnsi="Times New Roman" w:cs="Times New Roman"/>
                <w:b/>
                <w:b/>
                <w:color w:val="000000"/>
                <w:szCs w:val="24"/>
              </w:rPr>
            </w:pPr>
            <w:r>
              <w:rPr>
                <w:rFonts w:cs="Times New Roman" w:ascii="Times New Roman" w:hAnsi="Times New Roman"/>
                <w:b/>
                <w:color w:val="000000"/>
                <w:szCs w:val="24"/>
              </w:rPr>
              <w:t>8. GRUPA DEFAWORYZOWANA – KOBIETY</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dostosowana komunikacja poprzez informacje przekazywane do organizacji skupiających kobiety na obszarze, informacje w szkołach i przedszkolach</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rFonts w:ascii="Times New Roman" w:hAnsi="Times New Roman" w:cs="Times New Roman"/>
                <w:b/>
                <w:b/>
                <w:color w:val="000000"/>
                <w:szCs w:val="24"/>
              </w:rPr>
            </w:pPr>
            <w:r>
              <w:rPr>
                <w:rFonts w:cs="Times New Roman" w:ascii="Times New Roman" w:hAnsi="Times New Roman"/>
                <w:b/>
                <w:color w:val="000000"/>
                <w:szCs w:val="24"/>
              </w:rPr>
              <w:t xml:space="preserve">9. GRUPA DEFAWORYZOWANA – OSOBY STARSZE – </w:t>
            </w:r>
            <w:r>
              <w:rPr>
                <w:rFonts w:cs="Times New Roman" w:ascii="Times New Roman" w:hAnsi="Times New Roman"/>
                <w:color w:val="000000"/>
                <w:szCs w:val="24"/>
              </w:rPr>
              <w:t>osoby po 50. roku życia</w:t>
            </w:r>
          </w:p>
        </w:tc>
      </w:tr>
      <w:tr>
        <w:trPr>
          <w:trHeight w:val="68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informowanie w formie plakatów i ulotek o dużej czcionce, informacje umieszczane w sieci oraz umożliwienie dostosowania przeglądania strony www do potrzeb osób niedowidzących (większa czcionka)</w:t>
            </w:r>
          </w:p>
        </w:tc>
      </w:tr>
      <w:tr>
        <w:trPr>
          <w:trHeight w:val="460" w:hRule="atLeast"/>
          <w:cantSplit w:val="true"/>
        </w:trPr>
        <w:tc>
          <w:tcPr>
            <w:tcW w:w="10353" w:type="dxa"/>
            <w:tcBorders>
              <w:top w:val="single" w:sz="8" w:space="0" w:color="000000"/>
              <w:left w:val="single" w:sz="8" w:space="0" w:color="000000"/>
              <w:bottom w:val="single" w:sz="8" w:space="0" w:color="000000"/>
              <w:right w:val="single" w:sz="8" w:space="0" w:color="000000"/>
            </w:tcBorders>
          </w:tcPr>
          <w:p>
            <w:pPr>
              <w:pStyle w:val="CzgwnaA"/>
              <w:spacing w:before="60" w:after="0"/>
              <w:rPr/>
            </w:pPr>
            <w:r>
              <w:rPr>
                <w:rFonts w:cs="Times New Roman" w:ascii="Times New Roman" w:hAnsi="Times New Roman"/>
                <w:b/>
                <w:color w:val="000000"/>
                <w:szCs w:val="24"/>
              </w:rPr>
              <w:t>10. GRUPA DEFAWORYZOWANA - NIEPEŁNOSPRAWNI</w:t>
            </w:r>
            <w:r>
              <w:rPr>
                <w:rFonts w:cs="Times New Roman" w:ascii="Times New Roman" w:hAnsi="Times New Roman"/>
                <w:color w:val="000000"/>
                <w:szCs w:val="24"/>
              </w:rPr>
              <w:t xml:space="preserve"> - osoby ze stwierdzoną niepełnosprawnością</w:t>
            </w:r>
          </w:p>
        </w:tc>
      </w:tr>
      <w:tr>
        <w:trPr>
          <w:trHeight w:val="920" w:hRule="atLeast"/>
          <w:cantSplit w:val="true"/>
        </w:trPr>
        <w:tc>
          <w:tcPr>
            <w:tcW w:w="10353"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260" w:leader="none"/>
              </w:tabs>
              <w:spacing w:before="60" w:after="0"/>
              <w:jc w:val="left"/>
              <w:rPr>
                <w:rFonts w:ascii="Times New Roman" w:hAnsi="Times New Roman" w:cs="Times New Roman"/>
                <w:color w:val="000000"/>
                <w:sz w:val="24"/>
                <w:szCs w:val="24"/>
              </w:rPr>
            </w:pPr>
            <w:r>
              <w:rPr>
                <w:rFonts w:cs="Times New Roman" w:ascii="Times New Roman" w:hAnsi="Times New Roman"/>
                <w:color w:val="000000"/>
                <w:sz w:val="24"/>
                <w:szCs w:val="24"/>
              </w:rPr>
              <w:t>informacje umieszczane w sieci (dzięki temu nie ma konieczności dojazdu na spotkania) oraz dostosowanie przeglądania strony www do potrzeb osób niedowidzących (większa czcionka), miejsca spotkań informacyjnych dobierane pod kątem dostosowania dla osób niepełnoprawnych</w:t>
            </w:r>
          </w:p>
        </w:tc>
      </w:tr>
    </w:tbl>
    <w:p>
      <w:pPr>
        <w:pStyle w:val="Bezformatowania"/>
        <w:spacing w:before="60" w:after="0"/>
        <w:ind w:left="108" w:hanging="0"/>
        <w:rPr>
          <w:sz w:val="24"/>
          <w:szCs w:val="24"/>
        </w:rPr>
      </w:pPr>
      <w:r>
        <w:rPr>
          <w:sz w:val="24"/>
          <w:szCs w:val="24"/>
        </w:rPr>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Komunikacja z grupami defaworyzowanymi i zagrożonymi wykluczeniem społecznym:</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 xml:space="preserve">LGD zdefiniowała grupy defaworyzowane jako: osoby młode (do 35. roku życia),  osoby, które ukończyły 50. rok życia, kobiety oraz osoby niepełnosprawne, zamieszkujące obszar obejmujący LSR. Komunikacja dla wskazanych grup będzie dostosowana do ich potrzeb i oczekiwań, a środki przekazu dopasowane do ich preferencji. Osoby młode otrzymywać będą komunikaty poprzez sferę online i media społecznościowe, czyli m.in. portal facebook. Informacja dla osób starszych zostanie zaś specjalnie przygotowana, by pokonać wszystkie techniczne bariery. Plakaty i ulotki kolportowane przez LGD będą pisane czcionką dostosowaną do specyficznych potrzeb seniora, czyli o wielkości łatwej do przeczytania. Podobnie strona internetowa zostanie przygotowana z myślą o potrzebach osób niedowidzących poprzez zastosowanie większej czcionki, a dzięki jej bieżącej aktualizacji zarówno seniorzy, jak i osoby niepełnosprawne będą miały swobodny dostęp do informacji bez konieczności wychodzenia z domu. Zadbamy również by te materiały znalazły swoje miejsce w przestrzeniach, gdzie seniorzy oraz kobiety przebywają najczęściej, miejsca spotkań kół, stowarzyszeń, dostępne będą w dyspozycji sołtysów, na tablicach ogłoszeniowych gmin. </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Dwustronność komunikacji.</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Aby zapewnić jak największą ilość informacji zwrotnych od adresatów swoich działań komunikacyjnych  LGD zwróci szczególną uwagę by zastosować możliwie jak największą ilość narzędzi zapewniających dwustronność komunikacji. Będą to między innymi:</w:t>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 optymalizacja www w kierunku umożliwienia odbiorcom wysyłanie wiadomości, umieszczania komentarzy, dzięki którym biuro LGD będzie na bieżąco korespondowało z zainteresowanymi </w:t>
      </w:r>
    </w:p>
    <w:p>
      <w:pPr>
        <w:pStyle w:val="BezformatowaniaAA"/>
        <w:rPr>
          <w:rFonts w:ascii="Times New Roman" w:hAnsi="Times New Roman" w:cs="Times New Roman"/>
          <w:sz w:val="24"/>
          <w:szCs w:val="24"/>
        </w:rPr>
      </w:pPr>
      <w:r>
        <w:rPr>
          <w:rFonts w:cs="Times New Roman" w:ascii="Times New Roman" w:hAnsi="Times New Roman"/>
          <w:sz w:val="24"/>
          <w:szCs w:val="24"/>
        </w:rPr>
        <w:t>- komunikowanie za pomocą mediów społecznościowych, dzięki mechanizmom komentarzy i wiadomości,</w:t>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 organizacja </w:t>
      </w:r>
      <w:r>
        <w:rPr>
          <w:rFonts w:cs="Times New Roman" w:ascii="Times New Roman" w:hAnsi="Times New Roman"/>
          <w:color w:val="000000"/>
          <w:sz w:val="24"/>
          <w:szCs w:val="24"/>
        </w:rPr>
        <w:t>szkoleń i spotkań</w:t>
      </w:r>
      <w:r>
        <w:rPr>
          <w:rFonts w:cs="Times New Roman" w:ascii="Times New Roman" w:hAnsi="Times New Roman"/>
          <w:sz w:val="24"/>
          <w:szCs w:val="24"/>
        </w:rPr>
        <w:t xml:space="preserve"> z mieszkańcami, podczas których pracownicy i członkowie LGD będą mogli rozmawiać z odbiorcami oraz podsumowanie wszystkich spotkań ankietą satysfakcji.</w:t>
      </w:r>
    </w:p>
    <w:p>
      <w:pPr>
        <w:pStyle w:val="BezformatowaniaAA"/>
        <w:rPr>
          <w:rFonts w:ascii="Times New Roman" w:hAnsi="Times New Roman" w:cs="Times New Roman"/>
          <w:sz w:val="24"/>
          <w:szCs w:val="24"/>
        </w:rPr>
      </w:pPr>
      <w:r>
        <w:rPr>
          <w:rFonts w:cs="Times New Roman" w:ascii="Times New Roman" w:hAnsi="Times New Roman"/>
          <w:sz w:val="24"/>
          <w:szCs w:val="24"/>
        </w:rPr>
        <w:t>Wnioski, opinie, postulaty, komentarze pochodzące od społeczności lokalnej dotyczące działalności LGD i wdrażania LSR w wyniku podjętych działań komunikacyjnych zostaną zachowane w formie:</w:t>
      </w:r>
    </w:p>
    <w:p>
      <w:pPr>
        <w:pStyle w:val="BezformatowaniaAA"/>
        <w:numPr>
          <w:ilvl w:val="0"/>
          <w:numId w:val="2"/>
        </w:numPr>
        <w:tabs>
          <w:tab w:val="left" w:pos="280" w:leader="none"/>
          <w:tab w:val="left" w:pos="720" w:leader="none"/>
        </w:tabs>
        <w:ind w:left="280" w:hanging="140"/>
        <w:rPr>
          <w:rFonts w:ascii="Times New Roman" w:hAnsi="Times New Roman" w:cs="Times New Roman"/>
          <w:sz w:val="24"/>
          <w:szCs w:val="24"/>
        </w:rPr>
      </w:pPr>
      <w:r>
        <w:rPr>
          <w:rFonts w:cs="Times New Roman" w:ascii="Times New Roman" w:hAnsi="Times New Roman"/>
          <w:sz w:val="24"/>
          <w:szCs w:val="24"/>
        </w:rPr>
        <w:t xml:space="preserve">notatek z uwag przekazanych przy użyciu strony internetowej LGD i profilów w mediach społecznościowych, </w:t>
      </w:r>
    </w:p>
    <w:p>
      <w:pPr>
        <w:pStyle w:val="BezformatowaniaAA"/>
        <w:numPr>
          <w:ilvl w:val="0"/>
          <w:numId w:val="2"/>
        </w:numPr>
        <w:tabs>
          <w:tab w:val="left" w:pos="280" w:leader="none"/>
          <w:tab w:val="left" w:pos="720" w:leader="none"/>
        </w:tabs>
        <w:ind w:left="280" w:hanging="140"/>
        <w:rPr>
          <w:rFonts w:ascii="Times New Roman" w:hAnsi="Times New Roman" w:cs="Times New Roman"/>
          <w:sz w:val="24"/>
          <w:szCs w:val="24"/>
        </w:rPr>
      </w:pPr>
      <w:r>
        <w:rPr>
          <w:rFonts w:cs="Times New Roman" w:ascii="Times New Roman" w:hAnsi="Times New Roman"/>
          <w:sz w:val="24"/>
          <w:szCs w:val="24"/>
        </w:rPr>
        <w:t>notatek pracowników biura z przeprowadzonych spotkań, szkoleń, dyżurów doradczych etc.,</w:t>
      </w:r>
    </w:p>
    <w:p>
      <w:pPr>
        <w:pStyle w:val="BezformatowaniaAA"/>
        <w:numPr>
          <w:ilvl w:val="0"/>
          <w:numId w:val="2"/>
        </w:numPr>
        <w:tabs>
          <w:tab w:val="left" w:pos="280" w:leader="none"/>
          <w:tab w:val="left" w:pos="720" w:leader="none"/>
        </w:tabs>
        <w:ind w:left="280" w:hanging="140"/>
        <w:rPr>
          <w:rFonts w:ascii="Times New Roman" w:hAnsi="Times New Roman" w:cs="Times New Roman"/>
          <w:sz w:val="24"/>
          <w:szCs w:val="24"/>
        </w:rPr>
      </w:pPr>
      <w:r>
        <w:rPr>
          <w:rFonts w:cs="Times New Roman" w:ascii="Times New Roman" w:hAnsi="Times New Roman"/>
          <w:sz w:val="24"/>
          <w:szCs w:val="24"/>
        </w:rPr>
        <w:t>raportów z analizy ankiet dotyczących satysfakcji uczestników spotkań, szkoleń, doradztwa etc.</w:t>
      </w:r>
    </w:p>
    <w:p>
      <w:pPr>
        <w:pStyle w:val="BezformatowaniaAA"/>
        <w:rPr/>
      </w:pPr>
      <w:r>
        <w:rPr>
          <w:rFonts w:cs="Times New Roman" w:ascii="Times New Roman" w:hAnsi="Times New Roman"/>
          <w:sz w:val="24"/>
          <w:szCs w:val="24"/>
        </w:rPr>
        <w:t>Dane zebrane w wyniku dwustronnej komunikacji będą przekazywane przez dyrektora biura w formie raportu członkom Zarządu oraz przewodniczącemu Komisji Rewizyjnej nie rzadziej niż raz</w:t>
      </w:r>
      <w:r>
        <w:rPr>
          <w:rFonts w:cs="Times New Roman" w:ascii="Times New Roman" w:hAnsi="Times New Roman"/>
          <w:color w:val="000000"/>
          <w:sz w:val="24"/>
          <w:szCs w:val="24"/>
        </w:rPr>
        <w:t xml:space="preserve"> w roku. W przypadku zaistnienia problemów w realizacji planu komunikacji, które mogą zagrozić realizacji LSR powołany zostanie specjalny zespół roboczy do rozwiązania zaistniałych problemów. Roczne </w:t>
      </w:r>
      <w:r>
        <w:rPr>
          <w:rFonts w:cs="Times New Roman" w:ascii="Times New Roman" w:hAnsi="Times New Roman"/>
          <w:sz w:val="24"/>
          <w:szCs w:val="24"/>
        </w:rPr>
        <w:t>raporty będą brane pod uwagę w ramach ewaluacji działań LGD (kryterium trafności).</w:t>
      </w:r>
    </w:p>
    <w:p>
      <w:pPr>
        <w:pStyle w:val="BezformatowaniaAA"/>
        <w:rPr/>
      </w:pPr>
      <w:r>
        <w:rPr/>
        <w:tab/>
      </w:r>
    </w:p>
    <w:tbl>
      <w:tblPr>
        <w:tblW w:w="10350" w:type="dxa"/>
        <w:jc w:val="left"/>
        <w:tblInd w:w="-10" w:type="dxa"/>
        <w:tblLayout w:type="fixed"/>
        <w:tblCellMar>
          <w:top w:w="0" w:type="dxa"/>
          <w:left w:w="0" w:type="dxa"/>
          <w:bottom w:w="0" w:type="dxa"/>
          <w:right w:w="0" w:type="dxa"/>
        </w:tblCellMar>
      </w:tblPr>
      <w:tblGrid>
        <w:gridCol w:w="1510"/>
        <w:gridCol w:w="1835"/>
        <w:gridCol w:w="1739"/>
        <w:gridCol w:w="1708"/>
        <w:gridCol w:w="1739"/>
        <w:gridCol w:w="1819"/>
      </w:tblGrid>
      <w:tr>
        <w:trPr>
          <w:tblHeader w:val="true"/>
          <w:trHeight w:val="102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TYP DZIAŁAŃ</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OPIS DZIAŁAŃ</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INNOWACYJNOŚĆ DZIAŁAŃ</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GRUPA DOCELOWA/ADRESACI</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ŚRODKI PRZEKAZU</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 xml:space="preserve">OPIS EFEKTÓW DZIAŁAŃ </w:t>
            </w:r>
          </w:p>
          <w:p>
            <w:pPr>
              <w:pStyle w:val="Nagwek2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b w:val="false"/>
                <w:b w:val="false"/>
                <w:color w:val="000000"/>
                <w:szCs w:val="24"/>
              </w:rPr>
            </w:pPr>
            <w:r>
              <w:rPr>
                <w:rFonts w:cs="Times New Roman" w:ascii="Times New Roman" w:hAnsi="Times New Roman"/>
                <w:b w:val="false"/>
                <w:color w:val="000000"/>
                <w:szCs w:val="24"/>
              </w:rPr>
              <w:t>w latach 2016-2023</w:t>
            </w:r>
          </w:p>
        </w:tc>
      </w:tr>
      <w:tr>
        <w:trPr>
          <w:trHeight w:val="234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PROMOCJA W MEDIACH  LOKALNYCH</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Umieszczenie artykułów sponsorowanych i ogłoszeń w lokalnych mediach.</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xml:space="preserve">Działania zapewnią szeroki zasięg oraz dotarcie do praktycznie wszystkich grup docelowych. </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rPr>
                <w:rFonts w:ascii="Times New Roman" w:hAnsi="Times New Roman" w:cs="Times New Roman"/>
                <w:color w:val="000000"/>
                <w:szCs w:val="24"/>
              </w:rPr>
            </w:pPr>
            <w:r>
              <w:rPr>
                <w:rFonts w:cs="Times New Roman" w:ascii="Times New Roman" w:hAnsi="Times New Roman"/>
                <w:color w:val="000000"/>
                <w:szCs w:val="24"/>
              </w:rPr>
              <w:t>- potencjalni wnioskodawcy,</w:t>
            </w:r>
          </w:p>
          <w:p>
            <w:pPr>
              <w:pStyle w:val="Czgwna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rPr>
                <w:rFonts w:ascii="Times New Roman" w:hAnsi="Times New Roman" w:cs="Times New Roman"/>
                <w:color w:val="000000"/>
                <w:szCs w:val="24"/>
              </w:rPr>
            </w:pPr>
            <w:r>
              <w:rPr>
                <w:rFonts w:cs="Times New Roman" w:ascii="Times New Roman" w:hAnsi="Times New Roman"/>
                <w:color w:val="000000"/>
                <w:szCs w:val="24"/>
              </w:rPr>
              <w:t>- społeczność lokalna,</w:t>
            </w:r>
          </w:p>
          <w:p>
            <w:pPr>
              <w:pStyle w:val="CzgwnaAA"/>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rPr>
                <w:rFonts w:ascii="Times New Roman" w:hAnsi="Times New Roman" w:cs="Times New Roman"/>
                <w:color w:val="000000"/>
                <w:szCs w:val="24"/>
              </w:rPr>
            </w:pPr>
            <w:r>
              <w:rPr>
                <w:rFonts w:cs="Times New Roman" w:ascii="Times New Roman" w:hAnsi="Times New Roman"/>
                <w:color w:val="000000"/>
                <w:szCs w:val="24"/>
              </w:rPr>
              <w:t>- wszystkie grupy defaworyzowane,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47"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media lokalne</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140" w:leader="none"/>
              </w:tabs>
              <w:spacing w:before="60" w:after="0"/>
              <w:ind w:left="7" w:hanging="7"/>
              <w:jc w:val="center"/>
              <w:rPr>
                <w:rFonts w:ascii="Times New Roman" w:hAnsi="Times New Roman" w:cs="Times New Roman"/>
                <w:color w:val="000000"/>
                <w:szCs w:val="24"/>
              </w:rPr>
            </w:pPr>
            <w:r>
              <w:rPr>
                <w:rFonts w:cs="Times New Roman" w:ascii="Times New Roman" w:hAnsi="Times New Roman"/>
                <w:color w:val="000000"/>
                <w:szCs w:val="24"/>
              </w:rPr>
              <w:t>Emisja materiału, który osiągnie zasięg min. 10.000 osób / rok, w wyniku emisji min. 2 informacji.</w:t>
            </w:r>
          </w:p>
        </w:tc>
      </w:tr>
      <w:tr>
        <w:trPr>
          <w:trHeight w:val="258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MATERIAŁY DRUKOWANE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Przygotowanie i rozmieszczenie plakatów oraz ulotek informacyjnych nt. działalności LGD, realizowanych projektów, naborów itp.</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Kampania zagwarantuje szeroki zasięg w miejscach, które są często odwiedzane przez mieszkańców (wszystkie grupy docelowe).</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3"/>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p>
            <w:pPr>
              <w:pStyle w:val="CzgwnaAA"/>
              <w:numPr>
                <w:ilvl w:val="0"/>
                <w:numId w:val="3"/>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społeczność lokalna,</w:t>
            </w:r>
          </w:p>
          <w:p>
            <w:pPr>
              <w:pStyle w:val="CzgwnaAA"/>
              <w:numPr>
                <w:ilvl w:val="0"/>
                <w:numId w:val="3"/>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informacje eksponowane w gablotach instytucji publicznych (Urzędy, GOK)</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140" w:leader="none"/>
              </w:tabs>
              <w:spacing w:before="60" w:after="0"/>
              <w:ind w:left="7" w:hanging="7"/>
              <w:jc w:val="center"/>
              <w:rPr>
                <w:rFonts w:ascii="Times New Roman" w:hAnsi="Times New Roman" w:cs="Times New Roman"/>
                <w:color w:val="000000"/>
                <w:szCs w:val="24"/>
              </w:rPr>
            </w:pPr>
            <w:r>
              <w:rPr>
                <w:rFonts w:cs="Times New Roman" w:ascii="Times New Roman" w:hAnsi="Times New Roman"/>
                <w:color w:val="000000"/>
                <w:szCs w:val="24"/>
              </w:rPr>
              <w:t>Emisja materiału, który osiągnie zasięg min. 10.000 osób / rok</w:t>
            </w:r>
          </w:p>
        </w:tc>
      </w:tr>
      <w:tr>
        <w:trPr>
          <w:trHeight w:val="504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ONLINE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Bieżąca aktualizacja treści na stronie www, stworzenie wersji strony www dostosowanej do potrzeb osób niedowidzących (większa czcionka).</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Wykorzystanie zapewni przystępny dostęp do informacji osobom młodym funkcjonującym w przestrzeni Internetowej (social media) oraz umożliwi dotarcie do informacji wszystkim nie mogącym opuścić miejsca zamieszkania, m.in. grupom seniorów i niepełnosprawnych.</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4"/>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p>
            <w:pPr>
              <w:pStyle w:val="CzgwnaAA"/>
              <w:numPr>
                <w:ilvl w:val="0"/>
                <w:numId w:val="4"/>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społeczność lokalna,</w:t>
            </w:r>
          </w:p>
          <w:p>
            <w:pPr>
              <w:pStyle w:val="CzgwnaAA"/>
              <w:numPr>
                <w:ilvl w:val="0"/>
                <w:numId w:val="4"/>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młodzież, seniorzy, osoby niepełnosprawne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2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strona internetowa LGD,</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2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strony internetowe urzędów, lokalnych stowarzyszeń, przedsiębiorców,</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40"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portale społecznościowe</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12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strike/>
                <w:color w:val="000000"/>
                <w:szCs w:val="24"/>
              </w:rPr>
            </w:pPr>
            <w:r>
              <w:rPr>
                <w:rFonts w:cs="Times New Roman" w:ascii="Times New Roman" w:hAnsi="Times New Roman"/>
                <w:strike/>
                <w:color w:val="000000"/>
                <w:szCs w:val="24"/>
              </w:rPr>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Strona osiągnie zasięg 5.000 unikalnych użytkowników rocznie.</w:t>
            </w:r>
          </w:p>
        </w:tc>
      </w:tr>
      <w:tr>
        <w:trPr>
          <w:trHeight w:val="264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SPOTKANIA INFROMACYJNE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xml:space="preserve">Organizacja spotkań informacyjnych zarówno w biurze, jak i w terenie. </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Spotkania pozwalają na przeprowadzenie najskuteczniejszej komunikacji dwukierunkowej, pozwolą na nawiązanie relacji i wesprą budowanie zaufania.</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5"/>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p>
            <w:pPr>
              <w:pStyle w:val="CzgwnaAA"/>
              <w:numPr>
                <w:ilvl w:val="0"/>
                <w:numId w:val="5"/>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społeczność lokalna,</w:t>
            </w:r>
          </w:p>
          <w:p>
            <w:pPr>
              <w:pStyle w:val="CzgwnaAA"/>
              <w:numPr>
                <w:ilvl w:val="0"/>
                <w:numId w:val="5"/>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xml:space="preserve">Spotkania zgromadzą min. </w:t>
              <w:br/>
              <w:t>50 osób/ rok uczestniczących w spotkaniach LGD (rozliczanie według list obecności).</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r>
          </w:p>
        </w:tc>
      </w:tr>
      <w:tr>
        <w:trPr>
          <w:trHeight w:val="312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ZEWNĘTRZNE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Organizacja szkoleń dla beneficjentów funduszy z LGD.</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pozwalają na przeprowadzenie najskuteczniejszej komunikacji dwukierunkowej, ich przeprowadzenie bezpośrednio wpłynie na jakość i ilość składanych projektów.</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numPr>
                <w:ilvl w:val="0"/>
                <w:numId w:val="6"/>
              </w:numPr>
              <w:tabs>
                <w:tab w:val="clear" w:pos="708"/>
                <w:tab w:val="left" w:pos="-31680" w:leader="none"/>
                <w:tab w:val="left" w:pos="-31520" w:leader="none"/>
                <w:tab w:val="left" w:pos="-30812" w:leader="none"/>
                <w:tab w:val="left" w:pos="-30103" w:leader="none"/>
                <w:tab w:val="left" w:pos="-29394"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147" w:hanging="147"/>
              <w:rPr>
                <w:rFonts w:ascii="Times New Roman" w:hAnsi="Times New Roman" w:cs="Times New Roman"/>
                <w:color w:val="000000"/>
                <w:szCs w:val="24"/>
              </w:rPr>
            </w:pPr>
            <w:r>
              <w:rPr>
                <w:rFonts w:cs="Times New Roman" w:ascii="Times New Roman" w:hAnsi="Times New Roman"/>
                <w:color w:val="000000"/>
                <w:szCs w:val="24"/>
              </w:rPr>
              <w:t>potencjalni wnioskodawcy,</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Przeszkolonych zostanie min.  50 osób / rok (rozliczane według list obecności).</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r>
          </w:p>
        </w:tc>
      </w:tr>
      <w:tr>
        <w:trPr>
          <w:trHeight w:val="2400" w:hRule="atLeast"/>
          <w:cantSplit w:val="true"/>
        </w:trPr>
        <w:tc>
          <w:tcPr>
            <w:tcW w:w="1510"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WEWNĘTRZNIE</w:t>
            </w:r>
          </w:p>
        </w:tc>
        <w:tc>
          <w:tcPr>
            <w:tcW w:w="1835"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Organizacja szkoleń z procedury oceny wniosków.</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Szkolenia zagwarantują równy poziom wiedzy na temat oceny wniosków wszystkim członkom Rady, ułatwią weryfikację wniosków.</w:t>
            </w:r>
          </w:p>
        </w:tc>
        <w:tc>
          <w:tcPr>
            <w:tcW w:w="1708"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140"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ind w:left="7" w:hanging="7"/>
              <w:rPr>
                <w:rFonts w:ascii="Times New Roman" w:hAnsi="Times New Roman" w:cs="Times New Roman"/>
                <w:color w:val="000000"/>
                <w:szCs w:val="24"/>
              </w:rPr>
            </w:pPr>
            <w:r>
              <w:rPr>
                <w:rFonts w:cs="Times New Roman" w:ascii="Times New Roman" w:hAnsi="Times New Roman"/>
                <w:color w:val="000000"/>
                <w:szCs w:val="24"/>
              </w:rPr>
              <w:t>- członkowie Rady i pracownicy biura</w:t>
            </w:r>
          </w:p>
        </w:tc>
        <w:tc>
          <w:tcPr>
            <w:tcW w:w="173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 mailing z zaproszeniem na szkolenie,</w:t>
            </w:r>
          </w:p>
        </w:tc>
        <w:tc>
          <w:tcPr>
            <w:tcW w:w="181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t>Przeszkoleni zostaną co najmniej 1 raz wszyscy członkowie Rady LGD i pracownicy biura.</w:t>
            </w:r>
          </w:p>
          <w:p>
            <w:pPr>
              <w:pStyle w:val="CzgwnaAA"/>
              <w:tabs>
                <w:tab w:val="clear" w:pos="708"/>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pacing w:before="60" w:after="0"/>
              <w:jc w:val="center"/>
              <w:rPr>
                <w:rFonts w:ascii="Times New Roman" w:hAnsi="Times New Roman" w:cs="Times New Roman"/>
                <w:color w:val="000000"/>
                <w:szCs w:val="24"/>
              </w:rPr>
            </w:pPr>
            <w:r>
              <w:rPr>
                <w:rFonts w:cs="Times New Roman" w:ascii="Times New Roman" w:hAnsi="Times New Roman"/>
                <w:color w:val="000000"/>
                <w:szCs w:val="24"/>
              </w:rPr>
            </w:r>
          </w:p>
        </w:tc>
      </w:tr>
    </w:tbl>
    <w:p>
      <w:pPr>
        <w:pStyle w:val="Bezformatowania"/>
        <w:spacing w:before="60" w:after="0"/>
        <w:ind w:left="108" w:hanging="0"/>
        <w:rPr>
          <w:sz w:val="24"/>
          <w:szCs w:val="24"/>
        </w:rPr>
      </w:pPr>
      <w:r>
        <w:rPr>
          <w:sz w:val="24"/>
          <w:szCs w:val="24"/>
        </w:rPr>
      </w:r>
    </w:p>
    <w:p>
      <w:pPr>
        <w:pStyle w:val="Normal"/>
        <w:rPr>
          <w:rFonts w:ascii="Times New Roman" w:hAnsi="Times New Roman" w:eastAsia="ヒラギノ角ゴ Pro W3" w:cs="Times New Roman"/>
          <w:color w:val="000000"/>
          <w:sz w:val="24"/>
          <w:szCs w:val="24"/>
          <w:lang w:eastAsia="pl-PL"/>
        </w:rPr>
      </w:pPr>
      <w:r>
        <w:rPr>
          <w:rFonts w:cs="Times New Roman" w:ascii="Times New Roman" w:hAnsi="Times New Roman"/>
        </w:rPr>
        <w:t>Cele, działania i narzędzia komunikacyjne:</w:t>
      </w:r>
    </w:p>
    <w:p>
      <w:pPr>
        <w:pStyle w:val="BezformatowaniaAA"/>
        <w:rPr>
          <w:rFonts w:ascii="Times New Roman" w:hAnsi="Times New Roman" w:eastAsia="ヒラギノ角ゴ Pro W3" w:cs="Times New Roman"/>
          <w:color w:val="000000"/>
          <w:sz w:val="24"/>
          <w:szCs w:val="24"/>
          <w:lang w:eastAsia="pl-PL"/>
        </w:rPr>
      </w:pPr>
      <w:r>
        <w:rPr>
          <w:rFonts w:eastAsia="ヒラギノ角ゴ Pro W3" w:cs="Times New Roman" w:ascii="Times New Roman" w:hAnsi="Times New Roman"/>
          <w:color w:val="000000"/>
          <w:sz w:val="24"/>
          <w:szCs w:val="24"/>
          <w:lang w:eastAsia="pl-PL"/>
        </w:rPr>
      </w:r>
    </w:p>
    <w:tbl>
      <w:tblPr>
        <w:tblW w:w="10353" w:type="dxa"/>
        <w:jc w:val="left"/>
        <w:tblInd w:w="-10" w:type="dxa"/>
        <w:tblLayout w:type="fixed"/>
        <w:tblCellMar>
          <w:top w:w="0" w:type="dxa"/>
          <w:left w:w="0" w:type="dxa"/>
          <w:bottom w:w="0" w:type="dxa"/>
          <w:right w:w="0" w:type="dxa"/>
        </w:tblCellMar>
      </w:tblPr>
      <w:tblGrid>
        <w:gridCol w:w="8482"/>
        <w:gridCol w:w="506"/>
        <w:gridCol w:w="459"/>
        <w:gridCol w:w="459"/>
        <w:gridCol w:w="447"/>
      </w:tblGrid>
      <w:tr>
        <w:trPr>
          <w:tblHeader w:val="true"/>
          <w:trHeight w:val="480" w:hRule="atLeast"/>
          <w:cantSplit w:val="true"/>
        </w:trPr>
        <w:tc>
          <w:tcPr>
            <w:tcW w:w="8482"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DZIAŁANIA I NARZĘDZIA KOMUNIKACYJNE</w:t>
            </w:r>
          </w:p>
        </w:tc>
        <w:tc>
          <w:tcPr>
            <w:tcW w:w="1871" w:type="dxa"/>
            <w:gridSpan w:val="4"/>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CELE</w:t>
            </w:r>
          </w:p>
        </w:tc>
      </w:tr>
      <w:tr>
        <w:trPr>
          <w:tblHeader w:val="true"/>
          <w:trHeight w:val="480" w:hRule="atLeast"/>
          <w:cantSplit w:val="true"/>
        </w:trPr>
        <w:tc>
          <w:tcPr>
            <w:tcW w:w="8482"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napToGrid w:val="false"/>
              <w:spacing w:before="60" w:after="0"/>
              <w:jc w:val="center"/>
              <w:rPr>
                <w:rFonts w:ascii="Times New Roman" w:hAnsi="Times New Roman" w:cs="Times New Roman"/>
              </w:rPr>
            </w:pPr>
            <w:r>
              <w:rPr>
                <w:rFonts w:cs="Times New Roman" w:ascii="Times New Roman" w:hAnsi="Times New Roman"/>
              </w:rPr>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II.</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III.</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Nagwek2A"/>
              <w:spacing w:before="60" w:after="0"/>
              <w:jc w:val="center"/>
              <w:rPr>
                <w:rFonts w:ascii="Times New Roman" w:hAnsi="Times New Roman" w:cs="Times New Roman"/>
              </w:rPr>
            </w:pPr>
            <w:r>
              <w:rPr>
                <w:rFonts w:cs="Times New Roman" w:ascii="Times New Roman" w:hAnsi="Times New Roman"/>
              </w:rPr>
              <w:t>IV.</w:t>
            </w:r>
          </w:p>
        </w:tc>
      </w:tr>
      <w:tr>
        <w:trPr>
          <w:trHeight w:val="4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EMISJA MATERIAŁÓW DRUKOWANYCH</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pPr>
            <w:r>
              <w:rPr>
                <w:rFonts w:cs="Times New Roman" w:ascii="Times New Roman" w:hAnsi="Times New Roman"/>
              </w:rPr>
              <w:t xml:space="preserve">Plakaty informacyjne z informacją o naborze z uwzględnieniem wszelkich informacji na temat sposobów i harmonogramu składania wniosków i rozmieszczenie tych plakatów na tablicach informacyjnych przy </w:t>
            </w:r>
            <w:r>
              <w:rPr>
                <w:rFonts w:cs="Times New Roman" w:ascii="Times New Roman" w:hAnsi="Times New Roman"/>
                <w:color w:val="000000"/>
              </w:rPr>
              <w:t>urzędach, oraz</w:t>
            </w:r>
            <w:r>
              <w:rPr>
                <w:rFonts w:cs="Times New Roman" w:ascii="Times New Roman" w:hAnsi="Times New Roman"/>
              </w:rPr>
              <w:t xml:space="preserve"> na budynkach infrastruktury społecznej i kulturalnej,</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 xml:space="preserve">Ulotka promocyjna stowarzyszenia i jego działalności LGD, z założeniami rozwoju lokalnego kierowanego przez społeczność, która trafi do Urzędów Gmin, będzie rozdawana poprzez organizacje pozarządowe oraz inne miejsca spotkań lokalnej społeczności.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92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 xml:space="preserve">Plakat o LGD i jego celach statutowych, które umieszczone zostaną na tablicach informacyjnych gmin, lokalnych urzędów, jak również i ośrodkach, w których gromadzi się społeczność lokalna.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pPr>
            <w:r>
              <w:rPr>
                <w:rFonts w:cs="Times New Roman" w:ascii="Times New Roman" w:hAnsi="Times New Roman"/>
              </w:rPr>
              <w:t xml:space="preserve">Roll-up’y, banery promocyjne wyeksponowane na szkoleniach, spotkaniach, doradztwie oraz innych lokalnych wydarzeniach na obszarze LGD.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Materiały promocyjne rozdawane na każdym spotkaniu organizowanym przez LGD oraz wszelkiego rodzaju innych wydarzeniach na obszarze LGD. (np. dożynki, szkolenia, imprezy gminne, wydarzenia lokalnych stowarzyszeń i fundacji, cykliczne imprezy okazjonalne).</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Publikacja podsumowująca działalność i dostarczenie jej do wszystkich adresatów działań komunikacyjnych oraz jako materiał promocyjny obszaru.</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4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KOMUNIKOWANIE W INTERNECIE (komunikacja dwukierunkowa)</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 xml:space="preserve">Umieszczenie informacji o każdym kolejnym naborze z uwzględnieniem wszelkich informacji na temat sposobów i harmonogramu składania wniosków na stronie LGD, w mediach społecznościowych będących w dyspozycji LGD, informowanie zainteresowanych za pomocą maili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rFonts w:ascii="Times New Roman" w:hAnsi="Times New Roman" w:cs="Times New Roman"/>
              </w:rPr>
            </w:pPr>
            <w:r>
              <w:rPr>
                <w:rFonts w:cs="Times New Roman" w:ascii="Times New Roman" w:hAnsi="Times New Roman"/>
              </w:rPr>
              <w:t>Uzupełnianie strony www stowarzyszenia o wydarzenia istotne z punktu widzenia planu komunikacyjnego.</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pPr>
            <w:r>
              <w:rPr>
                <w:rFonts w:cs="Times New Roman" w:ascii="Times New Roman" w:hAnsi="Times New Roman"/>
              </w:rPr>
              <w:t xml:space="preserve">Utworzenie profilu na portalu Facebook, jako źródła informacji o stowarzyszeniu, realizowanych projektach, konkursach. To narzędzie komunikacji jest skierowane głównie do grupy defaworyzowanej – osób do 35 roku życia, biorąc pod uwagę fakt, że te narzędzia są im bliskie i użytkowane na co dzień. </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Wprowadzenie zakładki na www stowarzyszenia, w której znajdzie się katalog projektów zrealizowanych przy dofinansowaniu z LGD.</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Mailowe informowanie członków stowarzyszenia o najistotniejszych kwestiach związanych z realizacją LSR.</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r>
      <w:tr>
        <w:trPr>
          <w:trHeight w:val="4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INFORMOWANIE POPRZEZ MEDIA LOKALNE</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rFonts w:ascii="Times New Roman" w:hAnsi="Times New Roman" w:cs="Times New Roman"/>
              </w:rPr>
            </w:pPr>
            <w:r>
              <w:rPr>
                <w:rFonts w:cs="Times New Roman" w:ascii="Times New Roman" w:hAnsi="Times New Roman"/>
              </w:rPr>
              <w:t>Zamieszczenie przynajmniej jednej informacji dotyczącej każdego kolejnego rozpoczętego naboru w lokalnych mediach o zasięgu pokrywającym się z obszarem działania LGD (prasa, radio, TV), z uwzględnieniem wszelkich informacji na temat sposobów i terminu składania wniosków.</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tabs>
                <w:tab w:val="clear" w:pos="720"/>
                <w:tab w:val="left" w:pos="140" w:leader="none"/>
              </w:tabs>
              <w:spacing w:before="60" w:after="0"/>
              <w:rPr>
                <w:rFonts w:ascii="Times New Roman" w:hAnsi="Times New Roman" w:cs="Times New Roman"/>
              </w:rPr>
            </w:pPr>
            <w:r>
              <w:rPr>
                <w:rFonts w:cs="Times New Roman" w:ascii="Times New Roman" w:hAnsi="Times New Roman"/>
              </w:rPr>
              <w:t>Prowadzenie działań PR, czyli każdorazowe informowanie mediów lokalnych o postępach w realizacji LSR cele uzyskania nieodpłatnych materiałów informacyjnych.</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r>
      <w:tr>
        <w:trPr>
          <w:trHeight w:val="92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Stowarzyszenie w miarę możliwości będzie umieszczało w mediach lokalnych informację na temat swojej działalności wraz z kontaktem i godzinami dyżurów. To działanie pozwoli na dotarcie do dużej grupy odbiorców.</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ORGANIZACJA SPOTKAŃ INFORMACYJNYCH (komunikacja dwukierunkowa)</w:t>
            </w:r>
          </w:p>
        </w:tc>
      </w:tr>
      <w:tr>
        <w:trPr>
          <w:trHeight w:val="661"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Szkolenia z zasad pisania projektów, ich realizacji oraz rozliczania, które prowadzone będą przez pracowników LGD dla wszystkich zainteresowanych każdorazowo przez każdym naborem.</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92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Spotkania w biurze LGD – w godzinach dostosowanych również do wszystkich grup docelowych, by szansę na kontakt miały osoby pracujące, zwłaszcza przedsiębiorcy, ale również i młodzież, grupy defaworyzowane.</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284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pPr>
            <w:r>
              <w:rPr>
                <w:rFonts w:cs="Times New Roman" w:ascii="Times New Roman" w:hAnsi="Times New Roman"/>
                <w:color w:val="000000"/>
              </w:rPr>
              <w:t>Zorganizowanie przed każdym ogłoszeniem nowego naboru spotkań informacyjnych – po jednym w każdej gminie na obszarze działania LGD CIW połączonych z dyżurem pracownika Biura, podczas którego będzie przyjmować zainteresowane osoby i będzie odpowiadać na wszelkie pytania z zakresu działalności LGD.</w:t>
            </w:r>
            <w:r>
              <w:rPr>
                <w:rFonts w:cs="Times New Roman" w:ascii="Times New Roman" w:hAnsi="Times New Roman"/>
                <w:color w:val="FF0000"/>
              </w:rPr>
              <w:t xml:space="preserve"> </w:t>
            </w:r>
            <w:r>
              <w:rPr>
                <w:rFonts w:cs="Times New Roman" w:ascii="Times New Roman" w:hAnsi="Times New Roman"/>
                <w:color w:val="000000"/>
              </w:rPr>
              <w:t>S</w:t>
            </w:r>
            <w:r>
              <w:rPr>
                <w:rFonts w:cs="Times New Roman" w:ascii="Times New Roman" w:hAnsi="Times New Roman"/>
              </w:rPr>
              <w:t>potkanie zostanie ogłoszone za pomocą wszelkich dostępnych dla LGD narzędzi komunikacji (www, poprzez jednostki samorządu terytorialnego), dzięki temu rozwiązaniu eliminujemy bariery dystansu dotarcia do informacji, ułatwimy dostęp do informacji grupom defaworyzowanym (nie będą musiały ponosić kosztów transportu do biura LGD) oraz grupom docelowym – młodzieży, która będzie mogła wybrać się na takie spotkanie. W miarę możliwości LGD, jako miejsce spotkań wybierze miejsce dostosowane do potrzeb osób niepełnosprawnych.</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Udział pracowników stowarzyszenia w wydarzeniach z życia społeczności organizowane na obszarze.</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r>
        <w:trPr>
          <w:trHeight w:val="68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Organizacja regularnych spotkań dla członków stowarzyszenia celem omówienia postępu w realizacji LSR.</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r>
      <w:tr>
        <w:trPr>
          <w:trHeight w:val="1156"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Zaproszenie mieszkańców obszaru LGD na spotkania, podczas których realizacja strategii na lata 2014-2020 zostanie zaprezentowana, zaprezentowane będą zrealizowane wskaźniki, wybrane projekty zrealizowane w ramach LSR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Osobne spotkanie podsumowujące zorganizowane zostanie dla grup defaworyzowanych, ze szczególnym uwzględnieniem prezentacji projektów skierowanych do nich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rPr>
            </w:pPr>
            <w:r>
              <w:rPr>
                <w:rFonts w:cs="Times New Roman" w:ascii="Times New Roman" w:hAnsi="Times New Roman"/>
              </w:rPr>
            </w:r>
          </w:p>
        </w:tc>
      </w:tr>
      <w:tr>
        <w:trPr>
          <w:trHeight w:val="680" w:hRule="atLeast"/>
          <w:cantSplit w:val="true"/>
        </w:trPr>
        <w:tc>
          <w:tcPr>
            <w:tcW w:w="10353" w:type="dxa"/>
            <w:gridSpan w:val="5"/>
            <w:tcBorders>
              <w:top w:val="single" w:sz="8" w:space="0" w:color="000000"/>
              <w:left w:val="single" w:sz="8" w:space="0" w:color="000000"/>
              <w:bottom w:val="single" w:sz="8" w:space="0" w:color="000000"/>
              <w:right w:val="single" w:sz="8" w:space="0" w:color="000000"/>
            </w:tcBorders>
            <w:shd w:fill="D9D9D9" w:val="clear"/>
          </w:tcPr>
          <w:p>
            <w:pPr>
              <w:pStyle w:val="CzgwnaA"/>
              <w:spacing w:before="60" w:after="0"/>
              <w:jc w:val="center"/>
              <w:rPr>
                <w:rFonts w:ascii="Times New Roman" w:hAnsi="Times New Roman" w:cs="Times New Roman"/>
                <w:b/>
                <w:b/>
              </w:rPr>
            </w:pPr>
            <w:r>
              <w:rPr>
                <w:rFonts w:cs="Times New Roman" w:ascii="Times New Roman" w:hAnsi="Times New Roman"/>
                <w:b/>
              </w:rPr>
              <w:t>DZIAŁANIE: DOSTĘPNOŚĆ NA SPOTKANIA INDYWIDUALNE (komunikacja dwukierunkowa)</w:t>
            </w:r>
          </w:p>
        </w:tc>
      </w:tr>
      <w:tr>
        <w:trPr>
          <w:trHeight w:val="1160" w:hRule="atLeast"/>
          <w:cantSplit w:val="true"/>
        </w:trPr>
        <w:tc>
          <w:tcPr>
            <w:tcW w:w="8482" w:type="dxa"/>
            <w:tcBorders>
              <w:top w:val="single" w:sz="8" w:space="0" w:color="000000"/>
              <w:left w:val="single" w:sz="8" w:space="0" w:color="000000"/>
              <w:bottom w:val="single" w:sz="8" w:space="0" w:color="000000"/>
              <w:right w:val="single" w:sz="8" w:space="0" w:color="000000"/>
            </w:tcBorders>
            <w:shd w:fill="FFFFFF" w:val="clear"/>
          </w:tcPr>
          <w:p>
            <w:pPr>
              <w:pStyle w:val="BezformatowaniaAA"/>
              <w:spacing w:before="60" w:after="0"/>
              <w:rPr>
                <w:rFonts w:ascii="Times New Roman" w:hAnsi="Times New Roman" w:cs="Times New Roman"/>
              </w:rPr>
            </w:pPr>
            <w:r>
              <w:rPr>
                <w:rFonts w:cs="Times New Roman" w:ascii="Times New Roman" w:hAnsi="Times New Roman"/>
              </w:rPr>
              <w:t>Prowadzenie ciągłego doradztwa dla wszystkich chętnych w biurze LGD, w godzinach dostosowanych również do wszystkich grup docelowych, by szansę na kontakt miały osoby pracujące, zwłaszcza przedsiębiorcy, ale również i młodzież, grupy defaworyzowane i zagrożone wykluczeniem społecznym.</w:t>
            </w:r>
          </w:p>
        </w:tc>
        <w:tc>
          <w:tcPr>
            <w:tcW w:w="506"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c>
          <w:tcPr>
            <w:tcW w:w="459"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pacing w:before="60" w:after="0"/>
              <w:jc w:val="center"/>
              <w:rPr>
                <w:rFonts w:ascii="Times New Roman" w:hAnsi="Times New Roman" w:cs="Times New Roman"/>
                <w:b/>
                <w:b/>
              </w:rPr>
            </w:pPr>
            <w:r>
              <w:rPr>
                <w:rFonts w:cs="Times New Roman"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fill="FFFFFF" w:val="clear"/>
            <w:vAlign w:val="center"/>
          </w:tcPr>
          <w:p>
            <w:pPr>
              <w:pStyle w:val="CzgwnaA"/>
              <w:snapToGrid w:val="false"/>
              <w:spacing w:before="60" w:after="0"/>
              <w:jc w:val="center"/>
              <w:rPr>
                <w:rFonts w:ascii="Times New Roman" w:hAnsi="Times New Roman" w:cs="Times New Roman"/>
                <w:b/>
                <w:b/>
              </w:rPr>
            </w:pPr>
            <w:r>
              <w:rPr>
                <w:rFonts w:cs="Times New Roman" w:ascii="Times New Roman" w:hAnsi="Times New Roman"/>
                <w:b/>
              </w:rPr>
            </w:r>
          </w:p>
        </w:tc>
      </w:tr>
    </w:tbl>
    <w:p>
      <w:pPr>
        <w:pStyle w:val="Bezformatowania"/>
        <w:spacing w:before="60" w:after="0"/>
        <w:ind w:left="108" w:hanging="0"/>
        <w:rPr>
          <w:sz w:val="22"/>
        </w:rPr>
      </w:pPr>
      <w:r>
        <w:rPr>
          <w:sz w:val="22"/>
        </w:rPr>
      </w:r>
    </w:p>
    <w:p>
      <w:pPr>
        <w:pStyle w:val="Normal"/>
        <w:rPr>
          <w:rFonts w:ascii="Times New Roman" w:hAnsi="Times New Roman" w:eastAsia="ヒラギノ角ゴ Pro W3" w:cs="Times New Roman"/>
          <w:color w:val="000000"/>
          <w:szCs w:val="20"/>
          <w:lang w:eastAsia="pl-PL"/>
        </w:rPr>
      </w:pPr>
      <w:r>
        <w:rPr>
          <w:rFonts w:cs="Times New Roman" w:ascii="Times New Roman" w:hAnsi="Times New Roman"/>
          <w:b/>
          <w:sz w:val="24"/>
          <w:szCs w:val="24"/>
        </w:rPr>
        <w:t>Orientacyjny budżet planu komunikacji</w:t>
      </w:r>
      <w:r>
        <w:rPr>
          <w:rFonts w:cs="Times New Roman" w:ascii="Times New Roman" w:hAnsi="Times New Roman"/>
          <w:sz w:val="24"/>
          <w:szCs w:val="24"/>
        </w:rPr>
        <w:t>:</w:t>
      </w:r>
    </w:p>
    <w:p>
      <w:pPr>
        <w:pStyle w:val="BezformatowaniaAA"/>
        <w:rPr>
          <w:rFonts w:ascii="Times New Roman" w:hAnsi="Times New Roman" w:cs="Times New Roman"/>
          <w:sz w:val="24"/>
          <w:szCs w:val="24"/>
        </w:rPr>
      </w:pPr>
      <w:r>
        <w:rPr>
          <w:rFonts w:cs="Times New Roman" w:ascii="Times New Roman" w:hAnsi="Times New Roman"/>
          <w:sz w:val="24"/>
          <w:szCs w:val="24"/>
        </w:rPr>
        <w:t>Celem zapewnienia stałości i ciągłości działań komunikacyjnych wyszczególniono w budżecie środki na jego realizację:</w:t>
      </w:r>
    </w:p>
    <w:tbl>
      <w:tblPr>
        <w:tblW w:w="5993" w:type="dxa"/>
        <w:jc w:val="left"/>
        <w:tblInd w:w="-10" w:type="dxa"/>
        <w:tblLayout w:type="fixed"/>
        <w:tblCellMar>
          <w:top w:w="0" w:type="dxa"/>
          <w:left w:w="0" w:type="dxa"/>
          <w:bottom w:w="0" w:type="dxa"/>
          <w:right w:w="0" w:type="dxa"/>
        </w:tblCellMar>
      </w:tblPr>
      <w:tblGrid>
        <w:gridCol w:w="906"/>
        <w:gridCol w:w="2223"/>
        <w:gridCol w:w="2864"/>
      </w:tblGrid>
      <w:tr>
        <w:trPr>
          <w:tblHeader w:val="true"/>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D9D9D9" w:val="clear"/>
          </w:tcPr>
          <w:p>
            <w:pPr>
              <w:pStyle w:val="Nagwek2A"/>
              <w:spacing w:before="60" w:after="0"/>
              <w:jc w:val="center"/>
              <w:rPr>
                <w:rFonts w:ascii="Times New Roman" w:hAnsi="Times New Roman" w:cs="Times New Roman"/>
                <w:szCs w:val="24"/>
              </w:rPr>
            </w:pPr>
            <w:r>
              <w:rPr>
                <w:rFonts w:cs="Times New Roman" w:ascii="Times New Roman" w:hAnsi="Times New Roman"/>
                <w:szCs w:val="24"/>
              </w:rPr>
              <w:t>lata</w:t>
            </w:r>
          </w:p>
        </w:tc>
        <w:tc>
          <w:tcPr>
            <w:tcW w:w="2223" w:type="dxa"/>
            <w:tcBorders>
              <w:top w:val="single" w:sz="8" w:space="0" w:color="000000"/>
              <w:left w:val="single" w:sz="8" w:space="0" w:color="000000"/>
              <w:bottom w:val="single" w:sz="8" w:space="0" w:color="000000"/>
              <w:right w:val="single" w:sz="8" w:space="0" w:color="000000"/>
            </w:tcBorders>
            <w:shd w:fill="D9D9D9" w:val="clear"/>
          </w:tcPr>
          <w:p>
            <w:pPr>
              <w:pStyle w:val="Nagwek2A"/>
              <w:spacing w:before="60" w:after="0"/>
              <w:jc w:val="center"/>
              <w:rPr>
                <w:rFonts w:ascii="Times New Roman" w:hAnsi="Times New Roman" w:cs="Times New Roman"/>
                <w:szCs w:val="24"/>
              </w:rPr>
            </w:pPr>
            <w:r>
              <w:rPr>
                <w:rFonts w:cs="Times New Roman" w:ascii="Times New Roman" w:hAnsi="Times New Roman"/>
                <w:szCs w:val="24"/>
              </w:rPr>
              <w:t xml:space="preserve">kwota </w:t>
            </w:r>
          </w:p>
        </w:tc>
        <w:tc>
          <w:tcPr>
            <w:tcW w:w="2864" w:type="dxa"/>
            <w:tcBorders>
              <w:top w:val="single" w:sz="8" w:space="0" w:color="000000"/>
              <w:left w:val="single" w:sz="8" w:space="0" w:color="000000"/>
              <w:bottom w:val="single" w:sz="8" w:space="0" w:color="000000"/>
              <w:right w:val="single" w:sz="8" w:space="0" w:color="000000"/>
            </w:tcBorders>
            <w:shd w:fill="D9D9D9" w:val="clear"/>
          </w:tcPr>
          <w:p>
            <w:pPr>
              <w:pStyle w:val="Nagwek2A"/>
              <w:spacing w:before="60" w:after="0"/>
              <w:jc w:val="center"/>
              <w:rPr>
                <w:rFonts w:ascii="Times New Roman" w:hAnsi="Times New Roman" w:cs="Times New Roman"/>
                <w:szCs w:val="24"/>
              </w:rPr>
            </w:pPr>
            <w:r>
              <w:rPr>
                <w:rFonts w:cs="Times New Roman" w:ascii="Times New Roman" w:hAnsi="Times New Roman"/>
                <w:szCs w:val="24"/>
              </w:rPr>
              <w:t>narastająco</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2016</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3. 250,00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13.000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3.250,00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13.000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2017</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2.750,00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11.000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6.000,00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24.000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2018</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10.000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8.500,00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34.000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2019</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10.000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11.000,00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44.000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2020</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12.000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14.000,00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56.000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2021</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2.500,00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10.000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16.500,00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66.000 zł</w:t>
            </w:r>
          </w:p>
        </w:tc>
      </w:tr>
      <w:tr>
        <w:trPr>
          <w:trHeight w:val="480" w:hRule="atLeast"/>
          <w:cantSplit w:val="true"/>
        </w:trPr>
        <w:tc>
          <w:tcPr>
            <w:tcW w:w="906"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center"/>
              <w:rPr>
                <w:rFonts w:ascii="Times New Roman" w:hAnsi="Times New Roman" w:cs="Times New Roman"/>
                <w:szCs w:val="24"/>
              </w:rPr>
            </w:pPr>
            <w:r>
              <w:rPr>
                <w:rFonts w:cs="Times New Roman" w:ascii="Times New Roman" w:hAnsi="Times New Roman"/>
                <w:szCs w:val="24"/>
              </w:rPr>
              <w:t>2022</w:t>
            </w:r>
          </w:p>
        </w:tc>
        <w:tc>
          <w:tcPr>
            <w:tcW w:w="2223"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3.023,75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12.095 zł</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 xml:space="preserve">19.523,75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78.095 zł</w:t>
            </w:r>
          </w:p>
        </w:tc>
      </w:tr>
      <w:tr>
        <w:trPr>
          <w:trHeight w:val="480" w:hRule="atLeast"/>
          <w:cantSplit w:val="true"/>
        </w:trPr>
        <w:tc>
          <w:tcPr>
            <w:tcW w:w="3129" w:type="dxa"/>
            <w:gridSpan w:val="2"/>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b/>
                <w:b/>
                <w:color w:val="000000"/>
                <w:szCs w:val="24"/>
              </w:rPr>
            </w:pPr>
            <w:r>
              <w:rPr>
                <w:rFonts w:cs="Times New Roman" w:ascii="Times New Roman" w:hAnsi="Times New Roman"/>
                <w:b/>
                <w:color w:val="000000"/>
                <w:szCs w:val="24"/>
              </w:rPr>
              <w:t>SUMA</w:t>
            </w:r>
          </w:p>
        </w:tc>
        <w:tc>
          <w:tcPr>
            <w:tcW w:w="2864" w:type="dxa"/>
            <w:tcBorders>
              <w:top w:val="single" w:sz="8" w:space="0" w:color="000000"/>
              <w:left w:val="single" w:sz="8" w:space="0" w:color="000000"/>
              <w:bottom w:val="single" w:sz="8" w:space="0" w:color="000000"/>
              <w:right w:val="single" w:sz="8" w:space="0" w:color="000000"/>
            </w:tcBorders>
            <w:shd w:fill="FFFFFF" w:val="clear"/>
          </w:tcPr>
          <w:p>
            <w:pPr>
              <w:pStyle w:val="CzgwnaA"/>
              <w:spacing w:before="60" w:after="0"/>
              <w:jc w:val="right"/>
              <w:rPr>
                <w:rFonts w:ascii="Times New Roman" w:hAnsi="Times New Roman" w:cs="Times New Roman"/>
                <w:color w:val="000000"/>
                <w:szCs w:val="24"/>
              </w:rPr>
            </w:pPr>
            <w:r>
              <w:rPr>
                <w:rFonts w:eastAsia="Times New Roman" w:cs="Times New Roman" w:ascii="Times New Roman" w:hAnsi="Times New Roman"/>
                <w:color w:val="000000"/>
                <w:szCs w:val="24"/>
              </w:rPr>
              <w:t xml:space="preserve">   </w:t>
            </w:r>
            <w:r>
              <w:rPr>
                <w:rFonts w:cs="Times New Roman" w:ascii="Times New Roman" w:hAnsi="Times New Roman"/>
                <w:color w:val="000000"/>
                <w:szCs w:val="24"/>
              </w:rPr>
              <w:t xml:space="preserve">19.523,75 </w:t>
            </w:r>
            <w:r>
              <w:rPr>
                <w:rFonts w:cs="Times New Roman" w:ascii="Times New Roman" w:hAnsi="Times New Roman"/>
                <w:color w:val="000000"/>
                <w:sz w:val="22"/>
                <w:szCs w:val="22"/>
              </w:rPr>
              <w:t>€</w:t>
            </w:r>
          </w:p>
          <w:p>
            <w:pPr>
              <w:pStyle w:val="CzgwnaA"/>
              <w:spacing w:before="60" w:after="0"/>
              <w:jc w:val="right"/>
              <w:rPr>
                <w:rFonts w:ascii="Times New Roman" w:hAnsi="Times New Roman" w:cs="Times New Roman"/>
                <w:color w:val="000000"/>
                <w:szCs w:val="24"/>
              </w:rPr>
            </w:pPr>
            <w:r>
              <w:rPr>
                <w:rFonts w:cs="Times New Roman" w:ascii="Times New Roman" w:hAnsi="Times New Roman"/>
                <w:color w:val="000000"/>
                <w:szCs w:val="24"/>
              </w:rPr>
              <w:t>78.095 zł</w:t>
            </w:r>
          </w:p>
        </w:tc>
      </w:tr>
    </w:tbl>
    <w:p>
      <w:pPr>
        <w:pStyle w:val="BezformatowaniaAA"/>
        <w:rPr>
          <w:rFonts w:ascii="Times New Roman" w:hAnsi="Times New Roman" w:cs="Times New Roman"/>
          <w:sz w:val="24"/>
          <w:szCs w:val="24"/>
        </w:rPr>
      </w:pPr>
      <w:r>
        <w:rPr>
          <w:rFonts w:cs="Times New Roman" w:ascii="Times New Roman" w:hAnsi="Times New Roman"/>
          <w:sz w:val="24"/>
          <w:szCs w:val="24"/>
        </w:rPr>
        <w:t>Efekty i wskaźniki:</w:t>
      </w:r>
    </w:p>
    <w:p>
      <w:pPr>
        <w:pStyle w:val="BezformatowaniaAA"/>
        <w:rPr>
          <w:rFonts w:ascii="Times New Roman" w:hAnsi="Times New Roman" w:cs="Times New Roman"/>
          <w:sz w:val="24"/>
          <w:szCs w:val="24"/>
        </w:rPr>
      </w:pPr>
      <w:r>
        <w:rPr>
          <w:rFonts w:cs="Times New Roman"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LDG założyło:</w:t>
      </w:r>
    </w:p>
    <w:p>
      <w:pPr>
        <w:pStyle w:val="BezformatowaniaAA"/>
        <w:shd w:fill="FFFFFF" w:val="clear"/>
        <w:rPr>
          <w:rFonts w:ascii="Times New Roman" w:hAnsi="Times New Roman" w:cs="Times New Roman"/>
          <w:color w:val="000000"/>
          <w:sz w:val="24"/>
          <w:szCs w:val="24"/>
        </w:rPr>
      </w:pPr>
      <w:r>
        <w:rPr>
          <w:rFonts w:cs="Times New Roman" w:ascii="Times New Roman" w:hAnsi="Times New Roman"/>
          <w:color w:val="000000"/>
          <w:sz w:val="24"/>
          <w:szCs w:val="24"/>
        </w:rPr>
        <w:t>Wskaźniki produktu:</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liczba osobodni szkoleń dla pracowników i organów LGD -  214 osobodni,</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liczba podmiotów, którym udzielono indywidualnego doradztwa – 110 podmiotów,</w:t>
      </w:r>
    </w:p>
    <w:p>
      <w:pPr>
        <w:pStyle w:val="BezformatowaniaAA"/>
        <w:numPr>
          <w:ilvl w:val="0"/>
          <w:numId w:val="7"/>
        </w:numPr>
        <w:shd w:fill="FFFFFF" w:val="clear"/>
        <w:tabs>
          <w:tab w:val="clear" w:pos="720"/>
          <w:tab w:val="left" w:pos="360" w:leader="none"/>
          <w:tab w:val="left" w:pos="1440" w:leader="none"/>
        </w:tabs>
        <w:ind w:left="1440" w:hanging="720"/>
        <w:rPr>
          <w:rFonts w:ascii="Times New Roman" w:hAnsi="Times New Roman" w:cs="Times New Roman"/>
          <w:strike/>
          <w:color w:val="000000"/>
          <w:sz w:val="24"/>
          <w:szCs w:val="24"/>
        </w:rPr>
      </w:pPr>
      <w:r>
        <w:rPr>
          <w:rFonts w:cs="Times New Roman" w:ascii="Times New Roman" w:hAnsi="Times New Roman"/>
          <w:color w:val="000000"/>
          <w:sz w:val="24"/>
          <w:szCs w:val="24"/>
        </w:rPr>
        <w:t>liczba spotkań wydarzeń adresowanych do mieszkańców - 80</w:t>
      </w:r>
    </w:p>
    <w:p>
      <w:pPr>
        <w:pStyle w:val="BezformatowaniaAA"/>
        <w:rPr>
          <w:rFonts w:ascii="Times New Roman" w:hAnsi="Times New Roman" w:cs="Times New Roman"/>
          <w:color w:val="000000"/>
          <w:sz w:val="24"/>
          <w:szCs w:val="24"/>
        </w:rPr>
      </w:pPr>
      <w:r>
        <w:rPr>
          <w:rFonts w:cs="Times New Roman" w:ascii="Times New Roman" w:hAnsi="Times New Roman"/>
          <w:color w:val="000000"/>
          <w:sz w:val="24"/>
          <w:szCs w:val="24"/>
        </w:rPr>
        <w:t>Wskaźniki rezultatu:</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liczba osób, które otrzymały wsparcie po uprzednim udzieleniu indywidualnego doradztwa w zakresie ubiegania się o wsparcie na realizację LSR, świadczonego w biurze LGD - 96 osób,</w:t>
      </w:r>
    </w:p>
    <w:p>
      <w:pPr>
        <w:pStyle w:val="BezformatowaniaAA"/>
        <w:numPr>
          <w:ilvl w:val="0"/>
          <w:numId w:val="8"/>
        </w:numPr>
        <w:tabs>
          <w:tab w:val="clear" w:pos="720"/>
          <w:tab w:val="left" w:pos="360" w:leader="none"/>
          <w:tab w:val="left" w:pos="1440" w:leader="none"/>
        </w:tabs>
        <w:ind w:left="1440" w:hanging="720"/>
        <w:rPr>
          <w:rFonts w:ascii="Times New Roman" w:hAnsi="Times New Roman" w:cs="Times New Roman"/>
          <w:color w:val="000000"/>
          <w:sz w:val="24"/>
          <w:szCs w:val="24"/>
        </w:rPr>
      </w:pPr>
      <w:r>
        <w:rPr>
          <w:rFonts w:cs="Times New Roman" w:ascii="Times New Roman" w:hAnsi="Times New Roman"/>
          <w:color w:val="000000"/>
          <w:sz w:val="24"/>
          <w:szCs w:val="24"/>
        </w:rPr>
        <w:t xml:space="preserve">liczba osób uczestniczących w spotkaniach wydarzeniach adresowanych do mieszkańców </w:t>
        <w:br/>
        <w:t>– 1.600 osób,</w:t>
      </w:r>
    </w:p>
    <w:p>
      <w:pPr>
        <w:pStyle w:val="BezformatowaniaAA"/>
        <w:numPr>
          <w:ilvl w:val="0"/>
          <w:numId w:val="8"/>
        </w:numPr>
        <w:tabs>
          <w:tab w:val="clear" w:pos="720"/>
          <w:tab w:val="left" w:pos="360" w:leader="none"/>
          <w:tab w:val="left" w:pos="1440" w:leader="none"/>
        </w:tabs>
        <w:ind w:left="1440" w:hanging="720"/>
        <w:rPr/>
      </w:pPr>
      <w:r>
        <w:rPr>
          <w:rFonts w:cs="Times New Roman" w:ascii="Times New Roman" w:hAnsi="Times New Roman"/>
          <w:color w:val="000000"/>
          <w:sz w:val="24"/>
          <w:szCs w:val="24"/>
        </w:rPr>
        <w:t>liczba osób zadowolonych ze spotkań przeprowadzonych</w:t>
      </w:r>
      <w:r>
        <w:rPr>
          <w:rFonts w:cs="Times New Roman" w:ascii="Times New Roman" w:hAnsi="Times New Roman"/>
          <w:sz w:val="24"/>
          <w:szCs w:val="24"/>
        </w:rPr>
        <w:t xml:space="preserve"> przez LGD – 1.400 osób.</w:t>
      </w:r>
    </w:p>
    <w:p>
      <w:pPr>
        <w:pStyle w:val="BezformatowaniaAA"/>
        <w:rPr>
          <w:rFonts w:ascii="Times New Roman" w:hAnsi="Times New Roman" w:cs="Times New Roman"/>
          <w:sz w:val="24"/>
          <w:szCs w:val="24"/>
        </w:rPr>
      </w:pPr>
      <w:r>
        <w:rPr>
          <w:rFonts w:cs="Times New Roman" w:ascii="Times New Roman" w:hAnsi="Times New Roman"/>
          <w:sz w:val="24"/>
          <w:szCs w:val="24"/>
        </w:rPr>
        <w:t>Monitorowanie i analiza efektywności planu komunikacji:</w:t>
      </w:r>
    </w:p>
    <w:p>
      <w:pPr>
        <w:pStyle w:val="BezformatowaniaAA"/>
        <w:rPr>
          <w:rFonts w:ascii="Times New Roman" w:hAnsi="Times New Roman" w:cs="Times New Roman"/>
          <w:sz w:val="24"/>
          <w:szCs w:val="24"/>
        </w:rPr>
      </w:pPr>
      <w:r>
        <w:rPr>
          <w:rFonts w:cs="Times New Roman" w:ascii="Times New Roman" w:hAnsi="Times New Roman"/>
          <w:sz w:val="24"/>
          <w:szCs w:val="24"/>
        </w:rPr>
        <w:t xml:space="preserve">W ramach realizacji planu komunikacji zaplanowana działania z zakresu kontroli realizacji i efektywności. Działalność LGD zostanie upubliczniana co najmniej na stronie internetowej stowarzyszenia. Grupa będzie przez cały okres programowania poprzez swoje działania chciała utrzymywać mobilizację społeczną.  Zachęcając do obecności na spotkaniach, do udziału w szkoleniach, zapraszać na spotkania indywidualne w biurze. </w:t>
      </w:r>
      <w:bookmarkStart w:id="0" w:name="GoBack"/>
      <w:bookmarkEnd w:id="0"/>
      <w:r>
        <w:rPr>
          <w:rFonts w:cs="Times New Roman" w:ascii="Times New Roman" w:hAnsi="Times New Roman"/>
          <w:sz w:val="24"/>
          <w:szCs w:val="24"/>
        </w:rPr>
        <w:t xml:space="preserve">Monitorowanie efektywności planu komunikacji przeprowadzane będzie na bieżąco przez pracowników biura LGD na podstawie posiadanych informacji (m.in. liczba wejść na stronę www, zasięg mediów lokalnych, listy obecności na spotkaniach, ankiety). W sytuacji, gdy wskaźniki realizacji planu komunikacji (określone dla danego roku realizacji LSR) nie zostaną osiągnięte grupa zarządzi spotkanie zespołu roboczego, na którym uzgodnione zostaną poprawki i plan naprawczy </w:t>
        <w:br/>
        <w:t>w celu zwiększenia efektywności działań komunikacyjnych.</w:t>
      </w:r>
    </w:p>
    <w:p>
      <w:pPr>
        <w:pStyle w:val="BezformatowaniaAA"/>
        <w:rPr>
          <w:rFonts w:ascii="Times New Roman" w:hAnsi="Times New Roman" w:cs="Times New Roman"/>
          <w:sz w:val="24"/>
          <w:szCs w:val="24"/>
        </w:rPr>
      </w:pPr>
      <w:r>
        <w:rPr>
          <w:rFonts w:cs="Times New Roman" w:ascii="Times New Roman" w:hAnsi="Times New Roman"/>
          <w:sz w:val="24"/>
          <w:szCs w:val="24"/>
        </w:rPr>
        <w:t>Przykładowe działania naprawcze, które mogą zostać wdrożone na podstawie rekomendacji zespołu roboczego:</w:t>
      </w:r>
    </w:p>
    <w:p>
      <w:pPr>
        <w:pStyle w:val="BezformatowaniaAA"/>
        <w:tabs>
          <w:tab w:val="clear" w:pos="720"/>
          <w:tab w:val="left" w:pos="360" w:leader="none"/>
        </w:tabs>
        <w:rPr>
          <w:rFonts w:ascii="Times New Roman" w:hAnsi="Times New Roman" w:cs="Times New Roman"/>
          <w:sz w:val="24"/>
          <w:szCs w:val="24"/>
        </w:rPr>
      </w:pPr>
      <w:r>
        <w:rPr>
          <w:rFonts w:cs="Times New Roman" w:ascii="Times New Roman" w:hAnsi="Times New Roman"/>
          <w:sz w:val="24"/>
          <w:szCs w:val="24"/>
        </w:rPr>
        <w:t>- zmiana narzędzi i środków przekazu (wykorzystanie nowych technologii, nowych możliwości i rozwiązań),</w:t>
      </w:r>
    </w:p>
    <w:p>
      <w:pPr>
        <w:pStyle w:val="BezformatowaniaAA"/>
        <w:tabs>
          <w:tab w:val="clear" w:pos="720"/>
          <w:tab w:val="left" w:pos="360" w:leader="none"/>
        </w:tabs>
        <w:rPr>
          <w:rFonts w:ascii="Times New Roman" w:hAnsi="Times New Roman" w:cs="Times New Roman"/>
          <w:sz w:val="24"/>
          <w:szCs w:val="24"/>
        </w:rPr>
      </w:pPr>
      <w:r>
        <w:rPr>
          <w:rFonts w:cs="Times New Roman" w:ascii="Times New Roman" w:hAnsi="Times New Roman"/>
          <w:sz w:val="24"/>
          <w:szCs w:val="24"/>
        </w:rPr>
        <w:t>- zmiana budżetu w kierunku zwiększenia nakładu środków na komunikację.</w:t>
      </w:r>
    </w:p>
    <w:p>
      <w:pPr>
        <w:pStyle w:val="BezformatowaniaAA"/>
        <w:rPr>
          <w:rFonts w:ascii="Times New Roman" w:hAnsi="Times New Roman" w:cs="Times New Roman"/>
          <w:sz w:val="24"/>
          <w:szCs w:val="24"/>
        </w:rPr>
      </w:pPr>
      <w:r>
        <w:rPr>
          <w:rFonts w:cs="Times New Roman" w:ascii="Times New Roman" w:hAnsi="Times New Roman"/>
          <w:sz w:val="24"/>
          <w:szCs w:val="24"/>
        </w:rPr>
        <w:t>W razie konieczności poprawy efektywności planu komunikacji, sugestie zespołu roboczego zostaną przedstawione członkom Zarządu, Komisji Rewizyjnej i pracownikom biura LGD, którzy będą mogli wnieść swoje uwagi i komentarze. Następnie projekt skorygowanego planu zostanie poddany konsultacjom w gronie członków LGD. Za zatwierdzenie zmienionego dokumentu będzie odpowiadał Zarząd LGD.</w:t>
      </w:r>
    </w:p>
    <w:p>
      <w:pPr>
        <w:pStyle w:val="BezformatowaniaAA"/>
        <w:rPr>
          <w:rFonts w:ascii="Times New Roman" w:hAnsi="Times New Roman" w:cs="Times New Roman"/>
          <w:sz w:val="24"/>
          <w:szCs w:val="24"/>
        </w:rPr>
      </w:pPr>
      <w:r>
        <w:rPr>
          <w:rFonts w:cs="Times New Roman" w:ascii="Times New Roman" w:hAnsi="Times New Roman"/>
          <w:sz w:val="24"/>
          <w:szCs w:val="24"/>
        </w:rPr>
        <w:t>Harmonogram:</w:t>
      </w:r>
    </w:p>
    <w:p>
      <w:pPr>
        <w:pStyle w:val="BezformatowaniaAA"/>
        <w:rPr/>
      </w:pPr>
      <w:r>
        <w:rPr/>
        <w:t>Wszystkie działania realizowane w ramach planu komunikacji będą odbywały się w zgodzie z założonym harmonogramem.</w:t>
      </w:r>
    </w:p>
    <w:tbl>
      <w:tblPr>
        <w:tblW w:w="10218" w:type="dxa"/>
        <w:jc w:val="left"/>
        <w:tblInd w:w="-10" w:type="dxa"/>
        <w:tblLayout w:type="fixed"/>
        <w:tblCellMar>
          <w:top w:w="0" w:type="dxa"/>
          <w:left w:w="0" w:type="dxa"/>
          <w:bottom w:w="0" w:type="dxa"/>
          <w:right w:w="0" w:type="dxa"/>
        </w:tblCellMar>
      </w:tblPr>
      <w:tblGrid>
        <w:gridCol w:w="1514"/>
        <w:gridCol w:w="1860"/>
        <w:gridCol w:w="396"/>
        <w:gridCol w:w="463"/>
        <w:gridCol w:w="368"/>
        <w:gridCol w:w="458"/>
        <w:gridCol w:w="416"/>
        <w:gridCol w:w="417"/>
        <w:gridCol w:w="417"/>
        <w:gridCol w:w="444"/>
        <w:gridCol w:w="402"/>
        <w:gridCol w:w="430"/>
        <w:gridCol w:w="402"/>
        <w:gridCol w:w="472"/>
        <w:gridCol w:w="417"/>
        <w:gridCol w:w="457"/>
        <w:gridCol w:w="417"/>
        <w:gridCol w:w="468"/>
      </w:tblGrid>
      <w:tr>
        <w:trPr>
          <w:trHeight w:val="38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napToGrid w:val="false"/>
              <w:spacing w:before="60" w:after="0"/>
              <w:jc w:val="center"/>
              <w:rPr>
                <w:sz w:val="24"/>
                <w:szCs w:val="24"/>
              </w:rPr>
            </w:pPr>
            <w:r>
              <w:rPr>
                <w:sz w:val="24"/>
                <w:szCs w:val="24"/>
              </w:rPr>
            </w:r>
          </w:p>
        </w:tc>
        <w:tc>
          <w:tcPr>
            <w:tcW w:w="6844" w:type="dxa"/>
            <w:gridSpan w:val="16"/>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HARMONOGRAM</w:t>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4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MEDIA LOKLANE</w:t>
            </w:r>
          </w:p>
        </w:tc>
        <w:tc>
          <w:tcPr>
            <w:tcW w:w="186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prasa/radio/telewizja</w:t>
            </w:r>
          </w:p>
        </w:tc>
        <w:tc>
          <w:tcPr>
            <w:tcW w:w="39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510" w:hRule="atLeast"/>
          <w:cantSplit w:val="true"/>
        </w:trPr>
        <w:tc>
          <w:tcPr>
            <w:tcW w:w="1514"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DRUKOWANE MATERIAŁY PROMOCYJNE</w:t>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rFonts w:eastAsia="Times New Roman"/>
                <w:color w:val="2A1A00"/>
                <w:sz w:val="24"/>
                <w:szCs w:val="24"/>
              </w:rPr>
              <w:t xml:space="preserve">  </w:t>
            </w:r>
            <w:r>
              <w:rPr>
                <w:color w:val="2A1A00"/>
                <w:sz w:val="24"/>
                <w:szCs w:val="24"/>
              </w:rPr>
              <w:t>ulotki, foldery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3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rFonts w:eastAsia="Times New Roman"/>
                <w:color w:val="2A1A00"/>
                <w:sz w:val="24"/>
                <w:szCs w:val="24"/>
              </w:rPr>
              <w:t xml:space="preserve"> </w:t>
            </w:r>
            <w:r>
              <w:rPr>
                <w:color w:val="2A1A00"/>
                <w:sz w:val="24"/>
                <w:szCs w:val="24"/>
              </w:rPr>
              <w:t>plakaty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1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banery/roll-up promocyjne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9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drobne gadżety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7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publikacje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FFFF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FFFF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540" w:hRule="atLeast"/>
          <w:cantSplit w:val="true"/>
        </w:trPr>
        <w:tc>
          <w:tcPr>
            <w:tcW w:w="1514"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INTERNET</w:t>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aktualizowanie www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4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obsługa social media</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40" w:hRule="atLeast"/>
          <w:cantSplit w:val="true"/>
        </w:trPr>
        <w:tc>
          <w:tcPr>
            <w:tcW w:w="151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FFFF00"/>
            </w:tcBorders>
            <w:shd w:fill="996633" w:val="clear"/>
            <w:vAlign w:val="center"/>
          </w:tcPr>
          <w:p>
            <w:pPr>
              <w:pStyle w:val="BezformatowaniaA"/>
              <w:spacing w:before="60" w:after="0"/>
              <w:jc w:val="center"/>
              <w:rPr>
                <w:color w:val="2A1A00"/>
                <w:sz w:val="24"/>
                <w:szCs w:val="24"/>
              </w:rPr>
            </w:pPr>
            <w:r>
              <w:rPr>
                <w:color w:val="2A1A00"/>
                <w:sz w:val="24"/>
                <w:szCs w:val="24"/>
              </w:rPr>
              <w:t>ŚRODKI PRZEKAZU</w:t>
            </w:r>
          </w:p>
        </w:tc>
        <w:tc>
          <w:tcPr>
            <w:tcW w:w="396" w:type="dxa"/>
            <w:tcBorders>
              <w:top w:val="single" w:sz="8" w:space="0" w:color="000000"/>
              <w:left w:val="single" w:sz="8" w:space="0" w:color="FFFF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fill="996633" w:val="clear"/>
            <w:vAlign w:val="center"/>
          </w:tcPr>
          <w:p>
            <w:pPr>
              <w:pStyle w:val="BezformatowaniaA"/>
              <w:spacing w:before="60" w:after="0"/>
              <w:jc w:val="center"/>
              <w:rPr>
                <w:color w:val="2A1A00"/>
                <w:sz w:val="24"/>
                <w:szCs w:val="24"/>
              </w:rPr>
            </w:pPr>
            <w:r>
              <w:rPr>
                <w:color w:val="2A1A00"/>
                <w:sz w:val="24"/>
                <w:szCs w:val="24"/>
              </w:rPr>
              <w:t>II poł. 2023</w:t>
            </w:r>
          </w:p>
        </w:tc>
      </w:tr>
      <w:tr>
        <w:trPr>
          <w:trHeight w:val="720" w:hRule="atLeast"/>
          <w:cantSplit w:val="true"/>
        </w:trPr>
        <w:tc>
          <w:tcPr>
            <w:tcW w:w="1514" w:type="dxa"/>
            <w:vMerge w:val="restart"/>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color w:val="2A1A00"/>
                <w:sz w:val="24"/>
                <w:szCs w:val="24"/>
              </w:rPr>
            </w:pPr>
            <w:r>
              <w:rPr>
                <w:color w:val="2A1A00"/>
                <w:sz w:val="24"/>
                <w:szCs w:val="24"/>
              </w:rPr>
              <w:t>SPOTKANIA I SZKOLENIA</w:t>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pPr>
            <w:r>
              <w:rPr>
                <w:color w:val="2A1A00"/>
                <w:sz w:val="24"/>
                <w:szCs w:val="24"/>
              </w:rPr>
              <w:t>doradztwo w biurze LGD</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66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ankietowanie uczestników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52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spotkania w terenie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2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spotkania informacyjne</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6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spotkania członków stowarzyszenia</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108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udział w wydarzeniach społeczności lokalnej</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76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szkolenia z pisania projektów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44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szkolenia z realizacji projektów</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r>
        <w:trPr>
          <w:trHeight w:val="800" w:hRule="atLeast"/>
          <w:cantSplit w:val="true"/>
        </w:trPr>
        <w:tc>
          <w:tcPr>
            <w:tcW w:w="1514" w:type="dxa"/>
            <w:vMerge w:val="continue"/>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1860" w:type="dxa"/>
            <w:tcBorders>
              <w:top w:val="single" w:sz="8" w:space="0" w:color="000000"/>
              <w:left w:val="single" w:sz="8" w:space="0" w:color="000000"/>
              <w:bottom w:val="single" w:sz="8" w:space="0" w:color="000000"/>
              <w:right w:val="single" w:sz="8" w:space="0" w:color="FFFF00"/>
            </w:tcBorders>
            <w:shd w:fill="FFFFFF" w:val="clear"/>
            <w:vAlign w:val="center"/>
          </w:tcPr>
          <w:p>
            <w:pPr>
              <w:pStyle w:val="BezformatowaniaA"/>
              <w:spacing w:before="60" w:after="0"/>
              <w:jc w:val="center"/>
              <w:rPr>
                <w:color w:val="2A1A00"/>
                <w:sz w:val="24"/>
                <w:szCs w:val="24"/>
              </w:rPr>
            </w:pPr>
            <w:r>
              <w:rPr>
                <w:color w:val="2A1A00"/>
                <w:sz w:val="24"/>
                <w:szCs w:val="24"/>
              </w:rPr>
              <w:t>szkolenia z oceny projektów dla Rady</w:t>
            </w:r>
          </w:p>
        </w:tc>
        <w:tc>
          <w:tcPr>
            <w:tcW w:w="396" w:type="dxa"/>
            <w:tcBorders>
              <w:top w:val="single" w:sz="8" w:space="0" w:color="000000"/>
              <w:left w:val="single" w:sz="8" w:space="0" w:color="FFFF00"/>
              <w:bottom w:val="single" w:sz="8" w:space="0" w:color="000000"/>
              <w:right w:val="single" w:sz="8" w:space="0" w:color="000000"/>
            </w:tcBorders>
            <w:shd w:fill="FFFFFF" w:val="clear"/>
            <w:vAlign w:val="center"/>
          </w:tcPr>
          <w:p>
            <w:pPr>
              <w:pStyle w:val="BezformatowaniaA"/>
              <w:snapToGrid w:val="false"/>
              <w:spacing w:before="60" w:after="0"/>
              <w:jc w:val="center"/>
              <w:rPr>
                <w:color w:val="2A1A00"/>
                <w:sz w:val="24"/>
                <w:szCs w:val="24"/>
              </w:rPr>
            </w:pPr>
            <w:r>
              <w:rPr>
                <w:color w:val="2A1A00"/>
                <w:sz w:val="24"/>
                <w:szCs w:val="24"/>
              </w:rPr>
            </w:r>
          </w:p>
        </w:tc>
        <w:tc>
          <w:tcPr>
            <w:tcW w:w="463"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pacing w:before="60" w:after="0"/>
              <w:jc w:val="center"/>
              <w:rPr>
                <w:sz w:val="24"/>
                <w:szCs w:val="24"/>
              </w:rPr>
            </w:pPr>
            <w:r>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44"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30"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0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72"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5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17"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c>
          <w:tcPr>
            <w:tcW w:w="468" w:type="dxa"/>
            <w:tcBorders>
              <w:top w:val="single" w:sz="8" w:space="0" w:color="000000"/>
              <w:left w:val="single" w:sz="8" w:space="0" w:color="000000"/>
              <w:bottom w:val="single" w:sz="8" w:space="0" w:color="000000"/>
              <w:right w:val="single" w:sz="8" w:space="0" w:color="000000"/>
            </w:tcBorders>
            <w:shd w:fill="FFFFFF" w:val="clear"/>
            <w:vAlign w:val="center"/>
          </w:tcPr>
          <w:p>
            <w:pPr>
              <w:pStyle w:val="BezformatowaniaA"/>
              <w:snapToGrid w:val="false"/>
              <w:spacing w:before="60" w:after="0"/>
              <w:jc w:val="center"/>
              <w:rPr>
                <w:sz w:val="24"/>
                <w:szCs w:val="24"/>
              </w:rPr>
            </w:pPr>
            <w:r>
              <w:rPr>
                <w:sz w:val="24"/>
                <w:szCs w:val="24"/>
              </w:rPr>
            </w:r>
          </w:p>
        </w:tc>
      </w:tr>
    </w:tbl>
    <w:p>
      <w:pPr>
        <w:pStyle w:val="Normal"/>
        <w:spacing w:before="0" w:after="160"/>
        <w:rPr>
          <w:vanish/>
        </w:rPr>
      </w:pPr>
      <w:r>
        <w:rPr>
          <w:vanish/>
        </w:rPr>
      </w:r>
      <w:bookmarkStart w:id="1" w:name="_PictureBullets"/>
      <w:bookmarkStart w:id="2" w:name="_PictureBullets"/>
      <w:bookmarkEnd w:id="2"/>
    </w:p>
    <w:sectPr>
      <w:headerReference w:type="default" r:id="rId27"/>
      <w:footerReference w:type="default" r:id="rId28"/>
      <w:footnotePr>
        <w:numFmt w:val="decimal"/>
      </w:footnotePr>
      <w:type w:val="nextPage"/>
      <w:pgSz w:w="11906" w:h="16838"/>
      <w:pgMar w:left="851"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Cambria">
    <w:charset w:val="ee"/>
    <w:family w:val="roman"/>
    <w:pitch w:val="variable"/>
  </w:font>
  <w:font w:name="Courier New">
    <w:charset w:val="ee"/>
    <w:family w:val="modern"/>
    <w:pitch w:val="default"/>
  </w:font>
  <w:font w:name="Wingdings">
    <w:charset w:val="02"/>
    <w:family w:val="auto"/>
    <w:pitch w:val="variable"/>
  </w:font>
  <w:font w:name="Times New Roman">
    <w:charset w:val="ee"/>
    <w:family w:val="roman"/>
    <w:pitch w:val="variable"/>
  </w:font>
  <w:font w:name="Arial">
    <w:charset w:val="ee"/>
    <w:family w:val="swiss"/>
    <w:pitch w:val="variable"/>
  </w:font>
  <w:font w:name="Tahoma">
    <w:charset w:val="ee"/>
    <w:family w:val="swiss"/>
    <w:pitch w:val="variable"/>
  </w:font>
  <w:font w:name="OpenSymbol">
    <w:altName w:val="Arial Unicode MS"/>
    <w:charset w:val="00"/>
    <w:family w:val="auto"/>
    <w:pitch w:val="variable"/>
  </w:font>
  <w:font w:name="Candara">
    <w:charset w:val="ee"/>
    <w:family w:val="swiss"/>
    <w:pitch w:val="variable"/>
  </w:font>
  <w:font w:name="Helvetica">
    <w:altName w:val="Arial"/>
    <w:charset w:val="ee"/>
    <w:family w:val="swiss"/>
    <w:pitch w:val="variable"/>
  </w:font>
  <w:font w:name="Calibri Light">
    <w:charset w:val="ee"/>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20</w:t>
    </w:r>
    <w:r>
      <w:rPr/>
      <w:fldChar w:fldCharType="end"/>
    </w:r>
  </w:p>
  <w:p>
    <w:pPr>
      <w:pStyle w:val="Stopka"/>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21</w:t>
    </w:r>
    <w:r>
      <w:rPr/>
      <w:fldChar w:fldCharType="end"/>
    </w:r>
  </w:p>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27</w:t>
    </w:r>
    <w:r>
      <w:rPr/>
      <w:fldChar w:fldCharType="end"/>
    </w:r>
  </w:p>
  <w:p>
    <w:pPr>
      <w:pStyle w:val="Stopk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28</w:t>
    </w:r>
    <w:r>
      <w:rPr/>
      <w:fldChar w:fldCharType="end"/>
    </w:r>
  </w:p>
  <w:p>
    <w:pPr>
      <w:pStyle w:val="Stopk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rFonts w:ascii="Arial" w:hAnsi="Arial" w:cs="Arial"/>
        </w:rPr>
      </w:pPr>
      <w:r>
        <w:rPr>
          <w:rStyle w:val="Znakiprzypiswdolnych"/>
        </w:rPr>
        <w:footnoteRef/>
      </w:r>
      <w:r>
        <w:rPr>
          <w:rFonts w:cs="Arial" w:ascii="Arial" w:hAnsi="Arial"/>
          <w:sz w:val="18"/>
          <w:szCs w:val="18"/>
        </w:rPr>
        <w:t xml:space="preserve"> </w:t>
      </w:r>
      <w:r>
        <w:rPr>
          <w:rFonts w:cs="Times New Roman" w:ascii="Times New Roman" w:hAnsi="Times New Roman"/>
        </w:rPr>
        <w:t>Szerzej: Jerzy Kondracki, „Podstawy regionalizacji fizycznogeograficznej”, PWN, 1969 r., Warszawa.</w:t>
      </w:r>
    </w:p>
  </w:footnote>
  <w:footnote w:id="3">
    <w:p>
      <w:pPr>
        <w:pStyle w:val="Normal"/>
        <w:spacing w:before="0" w:after="160"/>
        <w:jc w:val="both"/>
        <w:rPr/>
      </w:pPr>
      <w:r>
        <w:rPr>
          <w:rStyle w:val="Znakiprzypiswdolnych"/>
        </w:rPr>
        <w:footnoteRef/>
      </w:r>
      <w:r>
        <w:rPr>
          <w:rStyle w:val="Znakiprzypiswdolnych"/>
          <w:rFonts w:cs="Times New Roman" w:ascii="Times New Roman" w:hAnsi="Times New Roman"/>
          <w:sz w:val="18"/>
          <w:szCs w:val="18"/>
        </w:rPr>
        <w:t xml:space="preserve"> </w:t>
      </w:r>
      <w:r>
        <w:rPr>
          <w:rFonts w:cs="Times New Roman" w:ascii="Times New Roman" w:hAnsi="Times New Roman"/>
          <w:sz w:val="20"/>
          <w:szCs w:val="20"/>
        </w:rPr>
        <w:t>Wskaźnik intensywności ruchu turystycznego wyrażony jako liczba turystów korzystających z noclegów na 1.000 mieszkańców. Suma wartości zmiennych „korzystający rezydenci (Polacy)” oraz „turyści zagraniczni korzystający” dla obiektów hotelowych i innych obiektów noclegowych łącznie, dzielona przez liczbę mieszkańców gminy (zmienna „faktyczne miejsce zamieszkania wg stanu na 31.12.2013”.).</w:t>
      </w:r>
    </w:p>
  </w:footnote>
  <w:footnote w:id="4">
    <w:p>
      <w:pPr>
        <w:pStyle w:val="Przypisdolny"/>
        <w:rPr/>
      </w:pPr>
      <w:r>
        <w:rPr>
          <w:rStyle w:val="Znakiprzypiswdolnych"/>
        </w:rPr>
        <w:footnoteRef/>
      </w:r>
      <w:r>
        <w:rPr/>
        <w:t xml:space="preserve"> </w:t>
      </w:r>
      <w:r>
        <w:rPr>
          <w:rFonts w:cs="TimesNewRoman"/>
          <w:sz w:val="18"/>
          <w:szCs w:val="18"/>
        </w:rPr>
        <w:t xml:space="preserve">Zakres wsparcia określony w § 2 ust. 1 pkt 2 lit. a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5">
    <w:p>
      <w:pPr>
        <w:pStyle w:val="Przypisdolny"/>
        <w:rPr/>
      </w:pPr>
      <w:r>
        <w:rPr>
          <w:rStyle w:val="Znakiprzypiswdolnych"/>
        </w:rPr>
        <w:footnoteRef/>
      </w:r>
      <w:r>
        <w:rPr/>
        <w:t xml:space="preserve"> </w:t>
      </w:r>
      <w:r>
        <w:rPr>
          <w:rFonts w:cs="TimesNewRoman"/>
          <w:sz w:val="18"/>
          <w:szCs w:val="18"/>
        </w:rPr>
        <w:t xml:space="preserve">Zakres wsparcia określony w § 2 ust. 1 pkt 2 lit. b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6">
    <w:p>
      <w:pPr>
        <w:pStyle w:val="Przypisdolny"/>
        <w:rPr/>
      </w:pPr>
      <w:r>
        <w:rPr>
          <w:rStyle w:val="Znakiprzypiswdolnych"/>
        </w:rPr>
        <w:footnoteRef/>
      </w:r>
      <w:r>
        <w:rPr/>
        <w:t xml:space="preserve"> </w:t>
      </w:r>
      <w:r>
        <w:rPr>
          <w:rStyle w:val="PrzypisdolnyZnak"/>
          <w:rFonts w:eastAsia="Calibri"/>
        </w:rPr>
        <w:t>Zakres wsparcia określony w art. 3 ust. 1 pkt 4 lit. b ustawy z dnia 20 lutego 2015 r. o wspieraniu rozwoju obszarów wiejskich z udziałem środków Europejskiego Funduszu Rolnego na rzecz Rozwoju Obszarów Wiejskich w ramach Programu Rozwoju Obszarów Wiejskich na lata 2014–2020</w:t>
      </w:r>
    </w:p>
  </w:footnote>
  <w:footnote w:id="7">
    <w:p>
      <w:pPr>
        <w:pStyle w:val="Przypisdolny"/>
        <w:rPr/>
      </w:pPr>
      <w:r>
        <w:rPr>
          <w:rStyle w:val="Znakiprzypiswdolnych"/>
        </w:rPr>
        <w:footnoteRef/>
      </w:r>
      <w:r>
        <w:rPr/>
        <w:t xml:space="preserve"> </w:t>
      </w:r>
      <w:r>
        <w:rPr>
          <w:rStyle w:val="PrzypisdolnyZnak"/>
          <w:rFonts w:eastAsia="Calibri"/>
        </w:rPr>
        <w:t>Zgodnie z klasyfikacją działalności gospodarczej na podstawie przepisów rozporządzenia Rady Ministrów z dnia 24 grudnia 2007 r. w sprawie Polskiej Klasyfikacji Działalności (PKD) jako produkcja artykułów spożywczych lub produkcja napojów.</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i/>
        <w:i/>
        <w:sz w:val="16"/>
        <w:szCs w:val="16"/>
      </w:rPr>
    </w:pPr>
    <w:r>
      <w:rPr>
        <w:i/>
        <w:sz w:val="16"/>
        <w:szCs w:val="16"/>
      </w:rPr>
      <w:t>Załącznik nr 1 do Uchwały nr 1/2021</w:t>
    </w:r>
  </w:p>
  <w:p>
    <w:pPr>
      <w:pStyle w:val="Gwka"/>
      <w:jc w:val="right"/>
      <w:rPr>
        <w:i/>
        <w:i/>
        <w:sz w:val="16"/>
        <w:szCs w:val="16"/>
      </w:rPr>
    </w:pPr>
    <w:r>
      <w:rPr>
        <w:i/>
        <w:sz w:val="16"/>
        <w:szCs w:val="16"/>
      </w:rPr>
      <w:t>Walnego Zebrania Członków Stowarzyszenia</w:t>
    </w:r>
  </w:p>
  <w:p>
    <w:pPr>
      <w:pStyle w:val="Gwka"/>
      <w:jc w:val="right"/>
      <w:rPr>
        <w:i/>
        <w:i/>
        <w:sz w:val="16"/>
        <w:szCs w:val="16"/>
      </w:rPr>
    </w:pPr>
    <w:r>
      <w:rPr>
        <w:i/>
        <w:sz w:val="16"/>
        <w:szCs w:val="16"/>
      </w:rPr>
      <w:t>Centrum Inicjatyw Wiejskich</w:t>
    </w:r>
  </w:p>
  <w:p>
    <w:pPr>
      <w:pStyle w:val="Gwka"/>
      <w:jc w:val="right"/>
      <w:rPr>
        <w:i/>
        <w:i/>
        <w:sz w:val="16"/>
        <w:szCs w:val="16"/>
      </w:rPr>
    </w:pPr>
    <w:r>
      <w:rPr>
        <w:i/>
        <w:sz w:val="16"/>
        <w:szCs w:val="16"/>
      </w:rPr>
      <w:t>z dnia 04.01.2021</w:t>
    </w:r>
  </w:p>
  <w:p>
    <w:pPr>
      <w:pStyle w:val="Gwka"/>
      <w:jc w:val="right"/>
      <w:rPr>
        <w:i/>
        <w:i/>
        <w:sz w:val="16"/>
        <w:szCs w:val="16"/>
      </w:rPr>
    </w:pPr>
    <w:r>
      <w:rPr>
        <w:i/>
        <w:sz w:val="16"/>
        <w:szCs w:val="16"/>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40.5pt;height:39pt" o:bullet="t">
        <v:imagedata r:id="rId1" o:title=""/>
      </v:shape>
    </w:pict>
  </w:numPicBullet>
  <w:abstractNum w:abstractNumId="1">
    <w:lvl w:ilvl="0">
      <w:start w:val="1"/>
      <w:pStyle w:val="Nagwek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Nagwek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34"/>
        </w:tabs>
        <w:ind w:left="134" w:hanging="0"/>
      </w:pPr>
      <w:rPr>
        <w:rFonts w:ascii="Liberation Serif" w:hAnsi="Liberation Serif" w:cs="Liberation Serif" w:hint="default"/>
        <w:vertAlign w:val="baseline"/>
        <w:position w:val="0"/>
        <w:sz w:val="24"/>
        <w:sz w:val="24"/>
        <w:szCs w:val="24"/>
        <w:color w:val="000000"/>
      </w:rPr>
    </w:lvl>
    <w:lvl w:ilvl="1">
      <w:start w:val="1"/>
      <w:numFmt w:val="bullet"/>
      <w:suff w:val="nothing"/>
      <w:lvlText w:val="-"/>
      <w:lvlJc w:val="left"/>
      <w:pPr>
        <w:tabs>
          <w:tab w:val="num" w:pos="0"/>
        </w:tabs>
        <w:ind w:left="0" w:firstLine="854"/>
      </w:pPr>
      <w:rPr>
        <w:rFonts w:ascii="Liberation Serif" w:hAnsi="Liberation Serif" w:cs="Liberation Serif" w:hint="default"/>
        <w:vertAlign w:val="baseline"/>
        <w:position w:val="0"/>
        <w:sz w:val="24"/>
        <w:sz w:val="24"/>
        <w:szCs w:val="24"/>
        <w:color w:val="000000"/>
      </w:rPr>
    </w:lvl>
    <w:lvl w:ilvl="2">
      <w:start w:val="1"/>
      <w:numFmt w:val="bullet"/>
      <w:suff w:val="nothing"/>
      <w:lvlText w:val="-"/>
      <w:lvlJc w:val="left"/>
      <w:pPr>
        <w:tabs>
          <w:tab w:val="num" w:pos="0"/>
        </w:tabs>
        <w:ind w:left="0" w:firstLine="1574"/>
      </w:pPr>
      <w:rPr>
        <w:rFonts w:ascii="Liberation Serif" w:hAnsi="Liberation Serif" w:cs="Liberation Serif" w:hint="default"/>
        <w:vertAlign w:val="baseline"/>
        <w:position w:val="0"/>
        <w:sz w:val="24"/>
        <w:sz w:val="24"/>
        <w:szCs w:val="24"/>
        <w:color w:val="000000"/>
      </w:rPr>
    </w:lvl>
    <w:lvl w:ilvl="3">
      <w:start w:val="1"/>
      <w:numFmt w:val="bullet"/>
      <w:suff w:val="nothing"/>
      <w:lvlText w:val="-"/>
      <w:lvlJc w:val="left"/>
      <w:pPr>
        <w:tabs>
          <w:tab w:val="num" w:pos="0"/>
        </w:tabs>
        <w:ind w:left="0" w:firstLine="2294"/>
      </w:pPr>
      <w:rPr>
        <w:rFonts w:ascii="Liberation Serif" w:hAnsi="Liberation Serif" w:cs="Liberation Serif" w:hint="default"/>
        <w:vertAlign w:val="baseline"/>
        <w:position w:val="0"/>
        <w:sz w:val="24"/>
        <w:sz w:val="24"/>
        <w:szCs w:val="24"/>
        <w:color w:val="000000"/>
      </w:rPr>
    </w:lvl>
    <w:lvl w:ilvl="4">
      <w:start w:val="1"/>
      <w:numFmt w:val="bullet"/>
      <w:suff w:val="nothing"/>
      <w:lvlText w:val="-"/>
      <w:lvlJc w:val="left"/>
      <w:pPr>
        <w:tabs>
          <w:tab w:val="num" w:pos="0"/>
        </w:tabs>
        <w:ind w:left="0" w:firstLine="3014"/>
      </w:pPr>
      <w:rPr>
        <w:rFonts w:ascii="Liberation Serif" w:hAnsi="Liberation Serif" w:cs="Liberation Serif" w:hint="default"/>
        <w:vertAlign w:val="baseline"/>
        <w:position w:val="0"/>
        <w:sz w:val="24"/>
        <w:sz w:val="24"/>
        <w:szCs w:val="24"/>
        <w:color w:val="000000"/>
      </w:rPr>
    </w:lvl>
    <w:lvl w:ilvl="5">
      <w:start w:val="1"/>
      <w:numFmt w:val="bullet"/>
      <w:suff w:val="nothing"/>
      <w:lvlText w:val="-"/>
      <w:lvlJc w:val="left"/>
      <w:pPr>
        <w:tabs>
          <w:tab w:val="num" w:pos="0"/>
        </w:tabs>
        <w:ind w:left="0" w:firstLine="3734"/>
      </w:pPr>
      <w:rPr>
        <w:rFonts w:ascii="Liberation Serif" w:hAnsi="Liberation Serif" w:cs="Liberation Serif" w:hint="default"/>
        <w:vertAlign w:val="baseline"/>
        <w:position w:val="0"/>
        <w:sz w:val="24"/>
        <w:sz w:val="24"/>
        <w:szCs w:val="24"/>
        <w:color w:val="000000"/>
      </w:rPr>
    </w:lvl>
    <w:lvl w:ilvl="6">
      <w:start w:val="1"/>
      <w:numFmt w:val="bullet"/>
      <w:suff w:val="nothing"/>
      <w:lvlText w:val="-"/>
      <w:lvlJc w:val="left"/>
      <w:pPr>
        <w:tabs>
          <w:tab w:val="num" w:pos="0"/>
        </w:tabs>
        <w:ind w:left="0" w:firstLine="4454"/>
      </w:pPr>
      <w:rPr>
        <w:rFonts w:ascii="Liberation Serif" w:hAnsi="Liberation Serif" w:cs="Liberation Serif" w:hint="default"/>
        <w:vertAlign w:val="baseline"/>
        <w:position w:val="0"/>
        <w:sz w:val="24"/>
        <w:sz w:val="24"/>
        <w:szCs w:val="24"/>
        <w:color w:val="000000"/>
      </w:rPr>
    </w:lvl>
    <w:lvl w:ilvl="7">
      <w:start w:val="1"/>
      <w:numFmt w:val="bullet"/>
      <w:suff w:val="nothing"/>
      <w:lvlText w:val="-"/>
      <w:lvlJc w:val="left"/>
      <w:pPr>
        <w:tabs>
          <w:tab w:val="num" w:pos="0"/>
        </w:tabs>
        <w:ind w:left="0" w:firstLine="5174"/>
      </w:pPr>
      <w:rPr>
        <w:rFonts w:ascii="Liberation Serif" w:hAnsi="Liberation Serif" w:cs="Liberation Serif" w:hint="default"/>
        <w:vertAlign w:val="baseline"/>
        <w:position w:val="0"/>
        <w:sz w:val="24"/>
        <w:sz w:val="24"/>
        <w:szCs w:val="24"/>
        <w:color w:val="000000"/>
      </w:rPr>
    </w:lvl>
    <w:lvl w:ilvl="8">
      <w:start w:val="1"/>
      <w:numFmt w:val="bullet"/>
      <w:suff w:val="nothing"/>
      <w:lvlText w:val="-"/>
      <w:lvlJc w:val="left"/>
      <w:pPr>
        <w:tabs>
          <w:tab w:val="num" w:pos="0"/>
        </w:tabs>
        <w:ind w:left="0" w:firstLine="5894"/>
      </w:pPr>
      <w:rPr>
        <w:rFonts w:ascii="Liberation Serif" w:hAnsi="Liberation Serif" w:cs="Liberation Serif" w:hint="default"/>
        <w:vertAlign w:val="baseline"/>
        <w:position w:val="0"/>
        <w:sz w:val="24"/>
        <w:sz w:val="24"/>
        <w:szCs w:val="24"/>
        <w:color w:val="000000"/>
      </w:rPr>
    </w:lvl>
  </w:abstractNum>
  <w:abstractNum w:abstractNumId="3">
    <w:lvl w:ilvl="0">
      <w:start w:val="1"/>
      <w:numFmt w:val="bullet"/>
      <w:lvlText w:val="-"/>
      <w:lvlJc w:val="left"/>
      <w:pPr>
        <w:tabs>
          <w:tab w:val="num" w:pos="134"/>
        </w:tabs>
        <w:ind w:left="134"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854"/>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574"/>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294"/>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014"/>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3734"/>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454"/>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174"/>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5894"/>
      </w:pPr>
      <w:rPr>
        <w:rFonts w:ascii="Liberation Serif" w:hAnsi="Liberation Serif" w:cs="Liberation Serif" w:hint="default"/>
        <w:vertAlign w:val="baseline"/>
        <w:position w:val="0"/>
        <w:sz w:val="24"/>
        <w:sz w:val="24"/>
        <w:color w:val="000000"/>
      </w:rPr>
    </w:lvl>
  </w:abstractNum>
  <w:abstractNum w:abstractNumId="4">
    <w:lvl w:ilvl="0">
      <w:numFmt w:val="bullet"/>
      <w:lvlText w:val="-"/>
      <w:lvlJc w:val="left"/>
      <w:pPr>
        <w:tabs>
          <w:tab w:val="num" w:pos="140"/>
        </w:tabs>
        <w:ind w:left="140"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1140"/>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860"/>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580"/>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300"/>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4020"/>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740"/>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460"/>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6180"/>
      </w:pPr>
      <w:rPr>
        <w:rFonts w:ascii="Liberation Serif" w:hAnsi="Liberation Serif" w:cs="Liberation Serif" w:hint="default"/>
        <w:vertAlign w:val="baseline"/>
        <w:position w:val="0"/>
        <w:sz w:val="24"/>
        <w:sz w:val="24"/>
        <w:color w:val="000000"/>
      </w:rPr>
    </w:lvl>
  </w:abstractNum>
  <w:abstractNum w:abstractNumId="5">
    <w:lvl w:ilvl="0">
      <w:numFmt w:val="bullet"/>
      <w:lvlText w:val="-"/>
      <w:lvlJc w:val="left"/>
      <w:pPr>
        <w:tabs>
          <w:tab w:val="num" w:pos="140"/>
        </w:tabs>
        <w:ind w:left="140"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1000"/>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720"/>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440"/>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160"/>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3880"/>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600"/>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320"/>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6040"/>
      </w:pPr>
      <w:rPr>
        <w:rFonts w:ascii="Liberation Serif" w:hAnsi="Liberation Serif" w:cs="Liberation Serif" w:hint="default"/>
        <w:vertAlign w:val="baseline"/>
        <w:position w:val="0"/>
        <w:sz w:val="24"/>
        <w:sz w:val="24"/>
        <w:color w:val="000000"/>
      </w:rPr>
    </w:lvl>
  </w:abstractNum>
  <w:abstractNum w:abstractNumId="6">
    <w:lvl w:ilvl="0">
      <w:numFmt w:val="bullet"/>
      <w:lvlText w:val="-"/>
      <w:lvlJc w:val="left"/>
      <w:pPr>
        <w:tabs>
          <w:tab w:val="num" w:pos="140"/>
        </w:tabs>
        <w:ind w:left="140" w:hanging="0"/>
      </w:pPr>
      <w:rPr>
        <w:rFonts w:ascii="Liberation Serif" w:hAnsi="Liberation Serif" w:cs="Liberation Serif" w:hint="default"/>
        <w:vertAlign w:val="baseline"/>
        <w:position w:val="0"/>
        <w:sz w:val="24"/>
        <w:sz w:val="24"/>
        <w:color w:val="000000"/>
      </w:rPr>
    </w:lvl>
    <w:lvl w:ilvl="1">
      <w:start w:val="1"/>
      <w:numFmt w:val="bullet"/>
      <w:suff w:val="nothing"/>
      <w:lvlText w:val="-"/>
      <w:lvlJc w:val="left"/>
      <w:pPr>
        <w:tabs>
          <w:tab w:val="num" w:pos="0"/>
        </w:tabs>
        <w:ind w:left="0" w:firstLine="1000"/>
      </w:pPr>
      <w:rPr>
        <w:rFonts w:ascii="Liberation Serif" w:hAnsi="Liberation Serif" w:cs="Liberation Serif" w:hint="default"/>
        <w:vertAlign w:val="baseline"/>
        <w:position w:val="0"/>
        <w:sz w:val="24"/>
        <w:sz w:val="24"/>
        <w:color w:val="000000"/>
      </w:rPr>
    </w:lvl>
    <w:lvl w:ilvl="2">
      <w:start w:val="1"/>
      <w:numFmt w:val="bullet"/>
      <w:suff w:val="nothing"/>
      <w:lvlText w:val="-"/>
      <w:lvlJc w:val="left"/>
      <w:pPr>
        <w:tabs>
          <w:tab w:val="num" w:pos="0"/>
        </w:tabs>
        <w:ind w:left="0" w:firstLine="1720"/>
      </w:pPr>
      <w:rPr>
        <w:rFonts w:ascii="Liberation Serif" w:hAnsi="Liberation Serif" w:cs="Liberation Serif" w:hint="default"/>
        <w:vertAlign w:val="baseline"/>
        <w:position w:val="0"/>
        <w:sz w:val="24"/>
        <w:sz w:val="24"/>
        <w:color w:val="000000"/>
      </w:rPr>
    </w:lvl>
    <w:lvl w:ilvl="3">
      <w:start w:val="1"/>
      <w:numFmt w:val="bullet"/>
      <w:suff w:val="nothing"/>
      <w:lvlText w:val="-"/>
      <w:lvlJc w:val="left"/>
      <w:pPr>
        <w:tabs>
          <w:tab w:val="num" w:pos="0"/>
        </w:tabs>
        <w:ind w:left="0" w:firstLine="2440"/>
      </w:pPr>
      <w:rPr>
        <w:rFonts w:ascii="Liberation Serif" w:hAnsi="Liberation Serif" w:cs="Liberation Serif" w:hint="default"/>
        <w:vertAlign w:val="baseline"/>
        <w:position w:val="0"/>
        <w:sz w:val="24"/>
        <w:sz w:val="24"/>
        <w:color w:val="000000"/>
      </w:rPr>
    </w:lvl>
    <w:lvl w:ilvl="4">
      <w:start w:val="1"/>
      <w:numFmt w:val="bullet"/>
      <w:suff w:val="nothing"/>
      <w:lvlText w:val="-"/>
      <w:lvlJc w:val="left"/>
      <w:pPr>
        <w:tabs>
          <w:tab w:val="num" w:pos="0"/>
        </w:tabs>
        <w:ind w:left="0" w:firstLine="3160"/>
      </w:pPr>
      <w:rPr>
        <w:rFonts w:ascii="Liberation Serif" w:hAnsi="Liberation Serif" w:cs="Liberation Serif" w:hint="default"/>
        <w:vertAlign w:val="baseline"/>
        <w:position w:val="0"/>
        <w:sz w:val="24"/>
        <w:sz w:val="24"/>
        <w:color w:val="000000"/>
      </w:rPr>
    </w:lvl>
    <w:lvl w:ilvl="5">
      <w:start w:val="1"/>
      <w:numFmt w:val="bullet"/>
      <w:suff w:val="nothing"/>
      <w:lvlText w:val="-"/>
      <w:lvlJc w:val="left"/>
      <w:pPr>
        <w:tabs>
          <w:tab w:val="num" w:pos="0"/>
        </w:tabs>
        <w:ind w:left="0" w:firstLine="3880"/>
      </w:pPr>
      <w:rPr>
        <w:rFonts w:ascii="Liberation Serif" w:hAnsi="Liberation Serif" w:cs="Liberation Serif" w:hint="default"/>
        <w:vertAlign w:val="baseline"/>
        <w:position w:val="0"/>
        <w:sz w:val="24"/>
        <w:sz w:val="24"/>
        <w:color w:val="000000"/>
      </w:rPr>
    </w:lvl>
    <w:lvl w:ilvl="6">
      <w:start w:val="1"/>
      <w:numFmt w:val="bullet"/>
      <w:suff w:val="nothing"/>
      <w:lvlText w:val="-"/>
      <w:lvlJc w:val="left"/>
      <w:pPr>
        <w:tabs>
          <w:tab w:val="num" w:pos="0"/>
        </w:tabs>
        <w:ind w:left="0" w:firstLine="4600"/>
      </w:pPr>
      <w:rPr>
        <w:rFonts w:ascii="Liberation Serif" w:hAnsi="Liberation Serif" w:cs="Liberation Serif" w:hint="default"/>
        <w:vertAlign w:val="baseline"/>
        <w:position w:val="0"/>
        <w:sz w:val="24"/>
        <w:sz w:val="24"/>
        <w:color w:val="000000"/>
      </w:rPr>
    </w:lvl>
    <w:lvl w:ilvl="7">
      <w:start w:val="1"/>
      <w:numFmt w:val="bullet"/>
      <w:suff w:val="nothing"/>
      <w:lvlText w:val="-"/>
      <w:lvlJc w:val="left"/>
      <w:pPr>
        <w:tabs>
          <w:tab w:val="num" w:pos="0"/>
        </w:tabs>
        <w:ind w:left="0" w:firstLine="5320"/>
      </w:pPr>
      <w:rPr>
        <w:rFonts w:ascii="Liberation Serif" w:hAnsi="Liberation Serif" w:cs="Liberation Serif" w:hint="default"/>
        <w:vertAlign w:val="baseline"/>
        <w:position w:val="0"/>
        <w:sz w:val="24"/>
        <w:sz w:val="24"/>
        <w:color w:val="000000"/>
      </w:rPr>
    </w:lvl>
    <w:lvl w:ilvl="8">
      <w:start w:val="1"/>
      <w:numFmt w:val="bullet"/>
      <w:suff w:val="nothing"/>
      <w:lvlText w:val="-"/>
      <w:lvlJc w:val="left"/>
      <w:pPr>
        <w:tabs>
          <w:tab w:val="num" w:pos="0"/>
        </w:tabs>
        <w:ind w:left="0" w:firstLine="6040"/>
      </w:pPr>
      <w:rPr>
        <w:rFonts w:ascii="Liberation Serif" w:hAnsi="Liberation Serif" w:cs="Liberation Serif" w:hint="default"/>
        <w:vertAlign w:val="baseline"/>
        <w:position w:val="0"/>
        <w:sz w:val="24"/>
        <w:sz w:val="24"/>
        <w:color w:val="000000"/>
      </w:rPr>
    </w:lvl>
  </w:abstractNum>
  <w:abstractNum w:abstractNumId="7">
    <w:lvl w:ilvl="0">
      <w:start w:val="1"/>
      <w:numFmt w:val="bullet"/>
      <w:lvlText w:val="·"/>
      <w:lvlJc w:val="left"/>
      <w:pPr>
        <w:tabs>
          <w:tab w:val="num" w:pos="720"/>
        </w:tabs>
        <w:ind w:left="720" w:firstLine="720"/>
      </w:pPr>
      <w:rPr>
        <w:rFonts w:ascii="Liberation Serif" w:hAnsi="Liberation Serif" w:cs="Liberation Serif" w:hint="default"/>
        <w:vertAlign w:val="baseline"/>
        <w:position w:val="0"/>
        <w:sz w:val="24"/>
        <w:sz w:val="24"/>
        <w:color w:val="000000"/>
      </w:rPr>
    </w:lvl>
    <w:lvl w:ilvl="1">
      <w:start w:val="1"/>
      <w:numFmt w:val="bullet"/>
      <w:suff w:val="nothing"/>
      <w:lvlText w:val="o"/>
      <w:lvlJc w:val="left"/>
      <w:pPr>
        <w:tabs>
          <w:tab w:val="num" w:pos="0"/>
        </w:tabs>
        <w:ind w:left="0" w:firstLine="1440"/>
      </w:pPr>
      <w:rPr>
        <w:rFonts w:ascii="Courier New" w:hAnsi="Courier New" w:cs="Courier New" w:hint="default"/>
        <w:vertAlign w:val="baseline"/>
        <w:position w:val="0"/>
        <w:sz w:val="24"/>
        <w:sz w:val="24"/>
        <w:color w:val="000000"/>
      </w:rPr>
    </w:lvl>
    <w:lvl w:ilvl="2">
      <w:start w:val="1"/>
      <w:numFmt w:val="bullet"/>
      <w:suff w:val="nothing"/>
      <w:lvlText w:val=""/>
      <w:lvlJc w:val="left"/>
      <w:pPr>
        <w:tabs>
          <w:tab w:val="num" w:pos="0"/>
        </w:tabs>
        <w:ind w:left="0" w:firstLine="2160"/>
      </w:pPr>
      <w:rPr>
        <w:rFonts w:ascii="Wingdings" w:hAnsi="Wingdings" w:cs="Wingdings" w:hint="default"/>
        <w:vertAlign w:val="baseline"/>
        <w:position w:val="0"/>
        <w:sz w:val="24"/>
        <w:sz w:val="24"/>
        <w:color w:val="000000"/>
      </w:rPr>
    </w:lvl>
    <w:lvl w:ilvl="3">
      <w:start w:val="1"/>
      <w:numFmt w:val="bullet"/>
      <w:suff w:val="nothing"/>
      <w:lvlText w:val="·"/>
      <w:lvlJc w:val="left"/>
      <w:pPr>
        <w:tabs>
          <w:tab w:val="num" w:pos="0"/>
        </w:tabs>
        <w:ind w:left="0" w:firstLine="2880"/>
      </w:pPr>
      <w:rPr>
        <w:rFonts w:ascii="Liberation Serif" w:hAnsi="Liberation Serif" w:cs="Liberation Serif" w:hint="default"/>
        <w:vertAlign w:val="baseline"/>
        <w:position w:val="0"/>
        <w:sz w:val="24"/>
        <w:sz w:val="24"/>
        <w:color w:val="000000"/>
      </w:rPr>
    </w:lvl>
    <w:lvl w:ilvl="4">
      <w:start w:val="1"/>
      <w:numFmt w:val="bullet"/>
      <w:suff w:val="nothing"/>
      <w:lvlText w:val="o"/>
      <w:lvlJc w:val="left"/>
      <w:pPr>
        <w:tabs>
          <w:tab w:val="num" w:pos="0"/>
        </w:tabs>
        <w:ind w:left="0" w:firstLine="3600"/>
      </w:pPr>
      <w:rPr>
        <w:rFonts w:ascii="Courier New" w:hAnsi="Courier New" w:cs="Courier New" w:hint="default"/>
        <w:vertAlign w:val="baseline"/>
        <w:position w:val="0"/>
        <w:sz w:val="24"/>
        <w:sz w:val="24"/>
        <w:color w:val="000000"/>
      </w:rPr>
    </w:lvl>
    <w:lvl w:ilvl="5">
      <w:start w:val="1"/>
      <w:numFmt w:val="bullet"/>
      <w:suff w:val="nothing"/>
      <w:lvlText w:val=""/>
      <w:lvlJc w:val="left"/>
      <w:pPr>
        <w:tabs>
          <w:tab w:val="num" w:pos="0"/>
        </w:tabs>
        <w:ind w:left="0" w:firstLine="4320"/>
      </w:pPr>
      <w:rPr>
        <w:rFonts w:ascii="Wingdings" w:hAnsi="Wingdings" w:cs="Wingdings" w:hint="default"/>
        <w:vertAlign w:val="baseline"/>
        <w:position w:val="0"/>
        <w:sz w:val="24"/>
        <w:sz w:val="24"/>
        <w:color w:val="000000"/>
      </w:rPr>
    </w:lvl>
    <w:lvl w:ilvl="6">
      <w:start w:val="1"/>
      <w:numFmt w:val="bullet"/>
      <w:suff w:val="nothing"/>
      <w:lvlText w:val="·"/>
      <w:lvlJc w:val="left"/>
      <w:pPr>
        <w:tabs>
          <w:tab w:val="num" w:pos="0"/>
        </w:tabs>
        <w:ind w:left="0" w:firstLine="5040"/>
      </w:pPr>
      <w:rPr>
        <w:rFonts w:ascii="Liberation Serif" w:hAnsi="Liberation Serif" w:cs="Liberation Serif" w:hint="default"/>
        <w:vertAlign w:val="baseline"/>
        <w:position w:val="0"/>
        <w:sz w:val="24"/>
        <w:sz w:val="24"/>
        <w:color w:val="000000"/>
      </w:rPr>
    </w:lvl>
    <w:lvl w:ilvl="7">
      <w:start w:val="1"/>
      <w:numFmt w:val="bullet"/>
      <w:suff w:val="nothing"/>
      <w:lvlText w:val="o"/>
      <w:lvlJc w:val="left"/>
      <w:pPr>
        <w:tabs>
          <w:tab w:val="num" w:pos="0"/>
        </w:tabs>
        <w:ind w:left="0" w:firstLine="5760"/>
      </w:pPr>
      <w:rPr>
        <w:rFonts w:ascii="Courier New" w:hAnsi="Courier New" w:cs="Courier New" w:hint="default"/>
        <w:vertAlign w:val="baseline"/>
        <w:position w:val="0"/>
        <w:sz w:val="24"/>
        <w:sz w:val="24"/>
        <w:color w:val="000000"/>
      </w:rPr>
    </w:lvl>
    <w:lvl w:ilvl="8">
      <w:start w:val="1"/>
      <w:numFmt w:val="bullet"/>
      <w:suff w:val="nothing"/>
      <w:lvlText w:val=""/>
      <w:lvlJc w:val="left"/>
      <w:pPr>
        <w:tabs>
          <w:tab w:val="num" w:pos="0"/>
        </w:tabs>
        <w:ind w:left="0" w:firstLine="6480"/>
      </w:pPr>
      <w:rPr>
        <w:rFonts w:ascii="Wingdings" w:hAnsi="Wingdings" w:cs="Wingdings" w:hint="default"/>
        <w:vertAlign w:val="baseline"/>
        <w:position w:val="0"/>
        <w:sz w:val="24"/>
        <w:sz w:val="24"/>
        <w:color w:val="000000"/>
      </w:rPr>
    </w:lvl>
  </w:abstractNum>
  <w:abstractNum w:abstractNumId="8">
    <w:lvl w:ilvl="0">
      <w:start w:val="1"/>
      <w:numFmt w:val="bullet"/>
      <w:lvlText w:val="·"/>
      <w:lvlJc w:val="left"/>
      <w:pPr>
        <w:tabs>
          <w:tab w:val="num" w:pos="720"/>
        </w:tabs>
        <w:ind w:left="720" w:firstLine="720"/>
      </w:pPr>
      <w:rPr>
        <w:rFonts w:ascii="Liberation Serif" w:hAnsi="Liberation Serif" w:cs="Liberation Serif" w:hint="default"/>
        <w:vertAlign w:val="baseline"/>
        <w:position w:val="0"/>
        <w:sz w:val="24"/>
        <w:sz w:val="24"/>
        <w:szCs w:val="24"/>
        <w:color w:val="000000"/>
      </w:rPr>
    </w:lvl>
    <w:lvl w:ilvl="1">
      <w:start w:val="1"/>
      <w:numFmt w:val="bullet"/>
      <w:suff w:val="nothing"/>
      <w:lvlText w:val="o"/>
      <w:lvlJc w:val="left"/>
      <w:pPr>
        <w:tabs>
          <w:tab w:val="num" w:pos="0"/>
        </w:tabs>
        <w:ind w:left="0" w:firstLine="1440"/>
      </w:pPr>
      <w:rPr>
        <w:rFonts w:ascii="Courier New" w:hAnsi="Courier New" w:cs="Courier New" w:hint="default"/>
        <w:vertAlign w:val="baseline"/>
        <w:position w:val="0"/>
        <w:sz w:val="24"/>
        <w:sz w:val="24"/>
        <w:color w:val="000000"/>
      </w:rPr>
    </w:lvl>
    <w:lvl w:ilvl="2">
      <w:start w:val="1"/>
      <w:numFmt w:val="bullet"/>
      <w:suff w:val="nothing"/>
      <w:lvlText w:val=""/>
      <w:lvlJc w:val="left"/>
      <w:pPr>
        <w:tabs>
          <w:tab w:val="num" w:pos="0"/>
        </w:tabs>
        <w:ind w:left="0" w:firstLine="2160"/>
      </w:pPr>
      <w:rPr>
        <w:rFonts w:ascii="Wingdings" w:hAnsi="Wingdings" w:cs="Wingdings" w:hint="default"/>
        <w:vertAlign w:val="baseline"/>
        <w:position w:val="0"/>
        <w:sz w:val="24"/>
        <w:sz w:val="24"/>
        <w:color w:val="000000"/>
      </w:rPr>
    </w:lvl>
    <w:lvl w:ilvl="3">
      <w:start w:val="1"/>
      <w:numFmt w:val="bullet"/>
      <w:suff w:val="nothing"/>
      <w:lvlText w:val="·"/>
      <w:lvlJc w:val="left"/>
      <w:pPr>
        <w:tabs>
          <w:tab w:val="num" w:pos="0"/>
        </w:tabs>
        <w:ind w:left="0" w:firstLine="2880"/>
      </w:pPr>
      <w:rPr>
        <w:rFonts w:ascii="Liberation Serif" w:hAnsi="Liberation Serif" w:cs="Liberation Serif" w:hint="default"/>
        <w:vertAlign w:val="baseline"/>
        <w:position w:val="0"/>
        <w:sz w:val="24"/>
        <w:sz w:val="24"/>
        <w:szCs w:val="24"/>
        <w:color w:val="000000"/>
      </w:rPr>
    </w:lvl>
    <w:lvl w:ilvl="4">
      <w:start w:val="1"/>
      <w:numFmt w:val="bullet"/>
      <w:suff w:val="nothing"/>
      <w:lvlText w:val="o"/>
      <w:lvlJc w:val="left"/>
      <w:pPr>
        <w:tabs>
          <w:tab w:val="num" w:pos="0"/>
        </w:tabs>
        <w:ind w:left="0" w:firstLine="3600"/>
      </w:pPr>
      <w:rPr>
        <w:rFonts w:ascii="Courier New" w:hAnsi="Courier New" w:cs="Courier New" w:hint="default"/>
        <w:vertAlign w:val="baseline"/>
        <w:position w:val="0"/>
        <w:sz w:val="24"/>
        <w:sz w:val="24"/>
        <w:color w:val="000000"/>
      </w:rPr>
    </w:lvl>
    <w:lvl w:ilvl="5">
      <w:start w:val="1"/>
      <w:numFmt w:val="bullet"/>
      <w:suff w:val="nothing"/>
      <w:lvlText w:val=""/>
      <w:lvlJc w:val="left"/>
      <w:pPr>
        <w:tabs>
          <w:tab w:val="num" w:pos="0"/>
        </w:tabs>
        <w:ind w:left="0" w:firstLine="4320"/>
      </w:pPr>
      <w:rPr>
        <w:rFonts w:ascii="Wingdings" w:hAnsi="Wingdings" w:cs="Wingdings" w:hint="default"/>
        <w:vertAlign w:val="baseline"/>
        <w:position w:val="0"/>
        <w:sz w:val="24"/>
        <w:sz w:val="24"/>
        <w:color w:val="000000"/>
      </w:rPr>
    </w:lvl>
    <w:lvl w:ilvl="6">
      <w:start w:val="1"/>
      <w:numFmt w:val="bullet"/>
      <w:suff w:val="nothing"/>
      <w:lvlText w:val="·"/>
      <w:lvlJc w:val="left"/>
      <w:pPr>
        <w:tabs>
          <w:tab w:val="num" w:pos="0"/>
        </w:tabs>
        <w:ind w:left="0" w:firstLine="5040"/>
      </w:pPr>
      <w:rPr>
        <w:rFonts w:ascii="Liberation Serif" w:hAnsi="Liberation Serif" w:cs="Liberation Serif" w:hint="default"/>
        <w:vertAlign w:val="baseline"/>
        <w:position w:val="0"/>
        <w:sz w:val="24"/>
        <w:sz w:val="24"/>
        <w:szCs w:val="24"/>
        <w:color w:val="000000"/>
      </w:rPr>
    </w:lvl>
    <w:lvl w:ilvl="7">
      <w:start w:val="1"/>
      <w:numFmt w:val="bullet"/>
      <w:suff w:val="nothing"/>
      <w:lvlText w:val="o"/>
      <w:lvlJc w:val="left"/>
      <w:pPr>
        <w:tabs>
          <w:tab w:val="num" w:pos="0"/>
        </w:tabs>
        <w:ind w:left="0" w:firstLine="5760"/>
      </w:pPr>
      <w:rPr>
        <w:rFonts w:ascii="Courier New" w:hAnsi="Courier New" w:cs="Courier New" w:hint="default"/>
        <w:vertAlign w:val="baseline"/>
        <w:position w:val="0"/>
        <w:sz w:val="24"/>
        <w:sz w:val="24"/>
        <w:color w:val="000000"/>
      </w:rPr>
    </w:lvl>
    <w:lvl w:ilvl="8">
      <w:start w:val="1"/>
      <w:numFmt w:val="bullet"/>
      <w:suff w:val="nothing"/>
      <w:lvlText w:val=""/>
      <w:lvlJc w:val="left"/>
      <w:pPr>
        <w:tabs>
          <w:tab w:val="num" w:pos="0"/>
        </w:tabs>
        <w:ind w:left="0" w:firstLine="6480"/>
      </w:pPr>
      <w:rPr>
        <w:rFonts w:ascii="Wingdings" w:hAnsi="Wingdings" w:cs="Wingdings" w:hint="default"/>
        <w:vertAlign w:val="baseline"/>
        <w:position w:val="0"/>
        <w:sz w:val="24"/>
        <w:sz w:val="24"/>
        <w:color w:val="000000"/>
      </w:rPr>
    </w:lvl>
  </w:abstractNum>
  <w:abstractNum w:abstractNumId="9">
    <w:lvl w:ilvl="0">
      <w:start w:val="1"/>
      <w:numFmt w:val="upperRoman"/>
      <w:lvlText w:val="%1."/>
      <w:lvlJc w:val="left"/>
      <w:pPr>
        <w:tabs>
          <w:tab w:val="num" w:pos="0"/>
        </w:tabs>
        <w:ind w:left="1080" w:hanging="720"/>
      </w:pPr>
      <w:rPr>
        <w:b w:val="false"/>
      </w:rPr>
    </w:lvl>
  </w:abstractNum>
  <w:abstractNum w:abstractNumId="10">
    <w:lvl w:ilvl="0">
      <w:start w:val="1"/>
      <w:numFmt w:val="bullet"/>
      <w:lvlText w:val=""/>
      <w:lvlJc w:val="left"/>
      <w:pPr>
        <w:tabs>
          <w:tab w:val="num" w:pos="0"/>
        </w:tabs>
        <w:ind w:left="720" w:hanging="360"/>
      </w:pPr>
      <w:rPr>
        <w:rFonts w:ascii="Symbol" w:hAnsi="Symbol" w:cs="Symbol" w:hint="default"/>
        <w:sz w:val="24"/>
        <w:szCs w:val="24"/>
        <w:color w:val="000000"/>
      </w:rPr>
    </w:lvl>
  </w:abstractNum>
  <w:abstractNum w:abstractNumId="11">
    <w:lvl w:ilvl="0">
      <w:start w:val="1"/>
      <w:numFmt w:val="upperLetter"/>
      <w:lvlText w:val="%1."/>
      <w:lvlJc w:val="left"/>
      <w:pPr>
        <w:tabs>
          <w:tab w:val="num" w:pos="0"/>
        </w:tabs>
        <w:ind w:left="720" w:hanging="360"/>
      </w:pPr>
      <w:rPr>
        <w:sz w:val="24"/>
        <w:szCs w:val="24"/>
        <w:rFonts w:ascii="Times New Roman" w:hAnsi="Times New Roman" w:cs="Times New Roman"/>
      </w:rPr>
    </w:lvl>
  </w:abstractNum>
  <w:abstractNum w:abstractNumId="12">
    <w:lvl w:ilvl="0">
      <w:start w:val="6"/>
      <w:numFmt w:val="decimal"/>
      <w:lvlText w:val="%1."/>
      <w:lvlJc w:val="left"/>
      <w:pPr>
        <w:tabs>
          <w:tab w:val="num" w:pos="0"/>
        </w:tabs>
        <w:ind w:left="720" w:hanging="360"/>
      </w:pPr>
      <w:rPr>
        <w:sz w:val="24"/>
        <w:szCs w:val="24"/>
        <w:rFonts w:ascii="Times New Roman" w:hAnsi="Times New Roman" w:cs="Times New Roman"/>
        <w:color w:val="000000"/>
      </w:rPr>
    </w:lvl>
  </w:abstractNum>
  <w:abstractNum w:abstractNumId="13">
    <w:lvl w:ilvl="0">
      <w:start w:val="1"/>
      <w:numFmt w:val="decimal"/>
      <w:lvlText w:val="%1)"/>
      <w:lvlJc w:val="left"/>
      <w:pPr>
        <w:tabs>
          <w:tab w:val="num" w:pos="0"/>
        </w:tabs>
        <w:ind w:left="720" w:hanging="360"/>
      </w:pPr>
      <w:rPr/>
    </w:lvl>
  </w:abstractNum>
  <w:abstractNum w:abstractNumId="14">
    <w:lvl w:ilvl="0">
      <w:start w:val="4"/>
      <w:numFmt w:val="decimal"/>
      <w:lvlText w:val="%1."/>
      <w:lvlJc w:val="left"/>
      <w:pPr>
        <w:tabs>
          <w:tab w:val="num" w:pos="0"/>
        </w:tabs>
        <w:ind w:left="720" w:hanging="360"/>
      </w:pPr>
      <w:rPr/>
    </w:lvl>
    <w:lvl w:ilvl="1">
      <w:start w:val="1"/>
      <w:numFmt w:val="decimal"/>
      <w:lvlText w:val="%1.%2"/>
      <w:lvlJc w:val="left"/>
      <w:pPr>
        <w:tabs>
          <w:tab w:val="num" w:pos="0"/>
        </w:tabs>
        <w:ind w:left="720" w:hanging="360"/>
      </w:pPr>
      <w:rPr>
        <w:sz w:val="24"/>
        <w:b/>
        <w:szCs w:val="24"/>
        <w:rFonts w:ascii="Times New Roman" w:hAnsi="Times New Roman" w:cs="Times New Roman"/>
        <w:color w:val="000000"/>
      </w:rPr>
    </w:lvl>
    <w:lvl w:ilvl="2">
      <w:start w:val="1"/>
      <w:numFmt w:val="decimal"/>
      <w:lvlText w:val="%1.%2.%3"/>
      <w:lvlJc w:val="left"/>
      <w:pPr>
        <w:tabs>
          <w:tab w:val="num" w:pos="0"/>
        </w:tabs>
        <w:ind w:left="1080" w:hanging="720"/>
      </w:pPr>
      <w:rPr>
        <w:sz w:val="24"/>
        <w:b/>
        <w:szCs w:val="24"/>
        <w:rFonts w:ascii="Times New Roman" w:hAnsi="Times New Roman" w:cs="Times New Roman"/>
        <w:color w:val="000000"/>
      </w:rPr>
    </w:lvl>
    <w:lvl w:ilvl="3">
      <w:start w:val="1"/>
      <w:numFmt w:val="decimal"/>
      <w:lvlText w:val="%1.%2.%3.%4"/>
      <w:lvlJc w:val="left"/>
      <w:pPr>
        <w:tabs>
          <w:tab w:val="num" w:pos="0"/>
        </w:tabs>
        <w:ind w:left="1080" w:hanging="720"/>
      </w:pPr>
      <w:rPr>
        <w:sz w:val="24"/>
        <w:b/>
        <w:szCs w:val="24"/>
        <w:rFonts w:ascii="Times New Roman" w:hAnsi="Times New Roman" w:cs="Times New Roman"/>
        <w:color w:val="000000"/>
      </w:rPr>
    </w:lvl>
    <w:lvl w:ilvl="4">
      <w:start w:val="1"/>
      <w:numFmt w:val="decimal"/>
      <w:lvlText w:val="%1.%2.%3.%4.%5"/>
      <w:lvlJc w:val="left"/>
      <w:pPr>
        <w:tabs>
          <w:tab w:val="num" w:pos="0"/>
        </w:tabs>
        <w:ind w:left="1440" w:hanging="1080"/>
      </w:pPr>
      <w:rPr>
        <w:sz w:val="24"/>
        <w:b/>
        <w:szCs w:val="24"/>
        <w:rFonts w:ascii="Times New Roman" w:hAnsi="Times New Roman" w:cs="Times New Roman"/>
        <w:color w:val="000000"/>
      </w:rPr>
    </w:lvl>
    <w:lvl w:ilvl="5">
      <w:start w:val="1"/>
      <w:numFmt w:val="decimal"/>
      <w:lvlText w:val="%1.%2.%3.%4.%5.%6"/>
      <w:lvlJc w:val="left"/>
      <w:pPr>
        <w:tabs>
          <w:tab w:val="num" w:pos="0"/>
        </w:tabs>
        <w:ind w:left="1440" w:hanging="1080"/>
      </w:pPr>
      <w:rPr>
        <w:sz w:val="24"/>
        <w:b/>
        <w:szCs w:val="24"/>
        <w:rFonts w:ascii="Times New Roman" w:hAnsi="Times New Roman" w:cs="Times New Roman"/>
        <w:color w:val="000000"/>
      </w:rPr>
    </w:lvl>
    <w:lvl w:ilvl="6">
      <w:start w:val="1"/>
      <w:numFmt w:val="decimal"/>
      <w:lvlText w:val="%1.%2.%3.%4.%5.%6.%7"/>
      <w:lvlJc w:val="left"/>
      <w:pPr>
        <w:tabs>
          <w:tab w:val="num" w:pos="0"/>
        </w:tabs>
        <w:ind w:left="1800" w:hanging="1440"/>
      </w:pPr>
      <w:rPr>
        <w:sz w:val="24"/>
        <w:b/>
        <w:szCs w:val="24"/>
        <w:rFonts w:ascii="Times New Roman" w:hAnsi="Times New Roman" w:cs="Times New Roman"/>
        <w:color w:val="000000"/>
      </w:rPr>
    </w:lvl>
    <w:lvl w:ilvl="7">
      <w:start w:val="1"/>
      <w:numFmt w:val="decimal"/>
      <w:lvlText w:val="%1.%2.%3.%4.%5.%6.%7.%8"/>
      <w:lvlJc w:val="left"/>
      <w:pPr>
        <w:tabs>
          <w:tab w:val="num" w:pos="0"/>
        </w:tabs>
        <w:ind w:left="1800" w:hanging="1440"/>
      </w:pPr>
      <w:rPr>
        <w:sz w:val="24"/>
        <w:b/>
        <w:szCs w:val="24"/>
        <w:rFonts w:ascii="Times New Roman" w:hAnsi="Times New Roman" w:cs="Times New Roman"/>
        <w:color w:val="000000"/>
      </w:rPr>
    </w:lvl>
    <w:lvl w:ilvl="8">
      <w:start w:val="1"/>
      <w:numFmt w:val="decimal"/>
      <w:lvlText w:val="%1.%2.%3.%4.%5.%6.%7.%8.%9"/>
      <w:lvlJc w:val="left"/>
      <w:pPr>
        <w:tabs>
          <w:tab w:val="num" w:pos="0"/>
        </w:tabs>
        <w:ind w:left="2160" w:hanging="1800"/>
      </w:pPr>
      <w:rPr>
        <w:sz w:val="24"/>
        <w:b/>
        <w:szCs w:val="24"/>
        <w:rFonts w:ascii="Times New Roman" w:hAnsi="Times New Roman" w:cs="Times New Roman"/>
        <w:color w:val="000000"/>
      </w:rPr>
    </w:lvl>
  </w:abstractNum>
  <w:abstractNum w:abstractNumId="15">
    <w:lvl w:ilvl="0">
      <w:start w:val="1"/>
      <w:numFmt w:val="bullet"/>
      <w:lvlText w:val=""/>
      <w:lvlJc w:val="left"/>
      <w:pPr>
        <w:tabs>
          <w:tab w:val="num" w:pos="0"/>
        </w:tabs>
        <w:ind w:left="1080" w:hanging="360"/>
      </w:pPr>
      <w:rPr>
        <w:rFonts w:ascii="Symbol" w:hAnsi="Symbol" w:cs="Symbol" w:hint="default"/>
        <w:sz w:val="24"/>
        <w:szCs w:val="24"/>
      </w:rPr>
    </w:lvl>
  </w:abstractNum>
  <w:abstractNum w:abstractNumId="16">
    <w:lvl w:ilvl="0">
      <w:start w:val="1"/>
      <w:numFmt w:val="bullet"/>
      <w:lvlText w:val=""/>
      <w:lvlJc w:val="left"/>
      <w:pPr>
        <w:tabs>
          <w:tab w:val="num" w:pos="0"/>
        </w:tabs>
        <w:ind w:left="720" w:hanging="360"/>
      </w:pPr>
      <w:rPr>
        <w:rFonts w:ascii="Symbol" w:hAnsi="Symbol" w:cs="Symbol" w:hint="default"/>
      </w:rPr>
    </w:lvl>
  </w:abstractNum>
  <w:abstractNum w:abstractNumId="17">
    <w:lvl w:ilvl="0">
      <w:start w:val="1"/>
      <w:numFmt w:val="decimal"/>
      <w:lvlText w:val="%1."/>
      <w:lvlJc w:val="left"/>
      <w:pPr>
        <w:tabs>
          <w:tab w:val="num" w:pos="0"/>
        </w:tabs>
        <w:ind w:left="360" w:hanging="360"/>
      </w:pPr>
      <w:rPr>
        <w:sz w:val="20"/>
        <w:b w:val="false"/>
        <w:szCs w:val="20"/>
        <w:rFonts w:ascii="Times New Roman" w:hAnsi="Times New Roman" w:cs="Times New Roman"/>
        <w:color w:val="0070C0"/>
      </w:rPr>
    </w:lvl>
  </w:abstractNum>
  <w:abstractNum w:abstractNumId="18">
    <w:lvl w:ilvl="0">
      <w:start w:val="2"/>
      <w:numFmt w:val="decimal"/>
      <w:lvlText w:val="%1."/>
      <w:lvlJc w:val="left"/>
      <w:pPr>
        <w:tabs>
          <w:tab w:val="num" w:pos="0"/>
        </w:tabs>
        <w:ind w:left="720" w:hanging="360"/>
      </w:pPr>
      <w:rPr>
        <w:sz w:val="24"/>
        <w:b/>
        <w:szCs w:val="24"/>
        <w:rFonts w:ascii="Times New Roman" w:hAnsi="Times New Roman" w:cs="Times New Roman"/>
      </w:rPr>
    </w:lvl>
  </w:abstractNum>
  <w:abstractNum w:abstractNumId="19">
    <w:lvl w:ilvl="0">
      <w:start w:val="1"/>
      <w:numFmt w:val="decimal"/>
      <w:lvlText w:val="%1."/>
      <w:lvlJc w:val="left"/>
      <w:pPr>
        <w:tabs>
          <w:tab w:val="num" w:pos="0"/>
        </w:tabs>
        <w:ind w:left="720" w:hanging="360"/>
      </w:pPr>
      <w:rPr>
        <w:dstrike w:val="false"/>
        <w:strike w:val="false"/>
        <w:sz w:val="24"/>
        <w:szCs w:val="24"/>
        <w:rFonts w:ascii="Times New Roman" w:hAnsi="Times New Roman" w:cs="Times New Roman"/>
        <w:color w:val="000000"/>
      </w:rPr>
    </w:lvl>
  </w:abstractNum>
  <w:abstractNum w:abstractNumId="20">
    <w:lvl w:ilvl="0">
      <w:start w:val="1"/>
      <w:numFmt w:val="bullet"/>
      <w:lvlText w:val=""/>
      <w:lvlJc w:val="left"/>
      <w:pPr>
        <w:tabs>
          <w:tab w:val="num" w:pos="0"/>
        </w:tabs>
        <w:ind w:left="1440" w:hanging="360"/>
      </w:pPr>
      <w:rPr>
        <w:rFonts w:ascii="Symbol" w:hAnsi="Symbol" w:cs="Symbol" w:hint="default"/>
        <w:color w:val="FF0000"/>
      </w:rPr>
    </w:lvl>
  </w:abstractNum>
  <w:abstractNum w:abstractNumId="21">
    <w:lvl w:ilvl="0">
      <w:start w:val="1"/>
      <w:numFmt w:val="decimal"/>
      <w:lvlText w:val="%1."/>
      <w:lvlJc w:val="left"/>
      <w:pPr>
        <w:tabs>
          <w:tab w:val="num" w:pos="708"/>
        </w:tabs>
        <w:ind w:left="720" w:hanging="360"/>
      </w:pPr>
      <w:rPr>
        <w:kern w:val="0"/>
        <w:rFonts w:ascii="Times New Roman" w:hAnsi="Times New Roman" w:eastAsia="Calibri" w:cs="Times New Roman"/>
        <w:color w:val="000000"/>
        <w:lang w:eastAsia="en-US"/>
      </w:rPr>
    </w:lvl>
  </w:abstractNum>
  <w:abstractNum w:abstractNumId="22">
    <w:lvl w:ilvl="0">
      <w:start w:val="1"/>
      <w:numFmt w:val="lowerLetter"/>
      <w:lvlText w:val="%1)"/>
      <w:lvlJc w:val="left"/>
      <w:pPr>
        <w:tabs>
          <w:tab w:val="num" w:pos="0"/>
        </w:tabs>
        <w:ind w:left="360" w:hanging="360"/>
      </w:pPr>
      <w:rPr>
        <w:sz w:val="24"/>
        <w:szCs w:val="24"/>
        <w:rFonts w:ascii="Times New Roman" w:hAnsi="Times New Roman" w:eastAsia="Calibri" w:cs="Times New Roman"/>
      </w:rPr>
    </w:lvl>
  </w:abstractNum>
  <w:abstractNum w:abstractNumId="23">
    <w:lvl w:ilvl="0">
      <w:start w:val="1"/>
      <w:numFmt w:val="decimal"/>
      <w:lvlText w:val="%1."/>
      <w:lvlJc w:val="left"/>
      <w:pPr>
        <w:tabs>
          <w:tab w:val="num" w:pos="0"/>
        </w:tabs>
        <w:ind w:left="720" w:hanging="360"/>
      </w:pPr>
      <w:rPr/>
    </w:lvl>
  </w:abstractNum>
  <w:abstractNum w:abstractNumId="24">
    <w:lvl w:ilvl="0">
      <w:start w:val="1"/>
      <w:numFmt w:val="bullet"/>
      <w:lvlText w:val=""/>
      <w:lvlJc w:val="left"/>
      <w:pPr>
        <w:tabs>
          <w:tab w:val="num" w:pos="0"/>
        </w:tabs>
        <w:ind w:left="720" w:hanging="360"/>
      </w:pPr>
      <w:rPr>
        <w:rFonts w:ascii="Symbol" w:hAnsi="Symbol" w:cs="Symbol" w:hint="default"/>
        <w:sz w:val="24"/>
        <w:szCs w:val="24"/>
      </w:rPr>
    </w:lvl>
  </w:abstractNum>
  <w:abstractNum w:abstractNumId="25">
    <w:lvl w:ilvl="0">
      <w:start w:val="1"/>
      <w:numFmt w:val="decimal"/>
      <w:lvlText w:val="%1)"/>
      <w:lvlJc w:val="left"/>
      <w:pPr>
        <w:tabs>
          <w:tab w:val="num" w:pos="0"/>
        </w:tabs>
        <w:ind w:left="720" w:hanging="360"/>
      </w:pPr>
      <w:rPr>
        <w:color w:val="000000"/>
      </w:rPr>
    </w:lvl>
  </w:abstractNum>
  <w:abstractNum w:abstractNumId="26">
    <w:lvl w:ilvl="0">
      <w:start w:val="1"/>
      <w:numFmt w:val="bullet"/>
      <w:lvlText w:val=""/>
      <w:lvlJc w:val="left"/>
      <w:pPr>
        <w:tabs>
          <w:tab w:val="num" w:pos="0"/>
        </w:tabs>
        <w:ind w:left="1440" w:hanging="360"/>
      </w:pPr>
      <w:rPr>
        <w:rFonts w:ascii="Symbol" w:hAnsi="Symbol" w:cs="Symbol" w:hint="default"/>
      </w:rPr>
    </w:lvl>
  </w:abstractNum>
  <w:abstractNum w:abstractNumId="27">
    <w:lvl w:ilvl="0">
      <w:start w:val="1"/>
      <w:numFmt w:val="decimal"/>
      <w:lvlText w:val="%1)"/>
      <w:lvlJc w:val="left"/>
      <w:pPr>
        <w:tabs>
          <w:tab w:val="num" w:pos="0"/>
        </w:tabs>
        <w:ind w:left="720" w:hanging="360"/>
      </w:pPr>
      <w:rPr>
        <w:sz w:val="24"/>
        <w:szCs w:val="24"/>
        <w:bCs/>
        <w:rFonts w:ascii="Times New Roman" w:hAnsi="Times New Roman" w:cs="Times New Roman"/>
        <w:lang w:eastAsia="pl-PL"/>
      </w:rPr>
    </w:lvl>
  </w:abstractNum>
  <w:abstractNum w:abstractNumId="28">
    <w:lvl w:ilvl="0">
      <w:start w:val="1"/>
      <w:numFmt w:val="bullet"/>
      <w:lvlText w:val=""/>
      <w:lvlJc w:val="left"/>
      <w:pPr>
        <w:tabs>
          <w:tab w:val="num" w:pos="0"/>
        </w:tabs>
        <w:ind w:left="720" w:hanging="360"/>
      </w:pPr>
      <w:rPr>
        <w:rFonts w:ascii="Symbol" w:hAnsi="Symbol" w:cs="Symbol" w:hint="default"/>
        <w:sz w:val="24"/>
        <w:shd w:fill="FFFFFF" w:val="clear"/>
        <w:szCs w:val="24"/>
      </w:rPr>
    </w:lvl>
  </w:abstractNum>
  <w:abstractNum w:abstractNumId="29">
    <w:lvl w:ilvl="0">
      <w:start w:val="1"/>
      <w:numFmt w:val="decimal"/>
      <w:lvlText w:val="%1)"/>
      <w:lvlJc w:val="left"/>
      <w:pPr>
        <w:tabs>
          <w:tab w:val="num" w:pos="0"/>
        </w:tabs>
        <w:ind w:left="720" w:hanging="360"/>
      </w:pPr>
      <w:rPr/>
    </w:lvl>
  </w:abstractNum>
  <w:abstractNum w:abstractNumId="30">
    <w:lvl w:ilvl="0">
      <w:start w:val="1"/>
      <w:numFmt w:val="bullet"/>
      <w:lvlText w:val=""/>
      <w:lvlJc w:val="left"/>
      <w:pPr>
        <w:tabs>
          <w:tab w:val="num" w:pos="0"/>
        </w:tabs>
        <w:ind w:left="720" w:hanging="360"/>
      </w:pPr>
      <w:rPr>
        <w:rFonts w:ascii="Symbol" w:hAnsi="Symbol" w:cs="Symbol" w:hint="default"/>
      </w:rPr>
    </w:lvl>
  </w:abstractNum>
  <w:abstractNum w:abstractNumId="31">
    <w:lvl w:ilvl="0">
      <w:start w:val="1"/>
      <w:numFmt w:val="decimal"/>
      <w:lvlText w:val="%1."/>
      <w:lvlJc w:val="left"/>
      <w:pPr>
        <w:tabs>
          <w:tab w:val="num" w:pos="0"/>
        </w:tabs>
        <w:ind w:left="720" w:hanging="360"/>
      </w:pPr>
      <w:rPr>
        <w:rFonts w:ascii="Times New Roman" w:hAnsi="Times New Roman" w:cs="Times New Roman"/>
        <w:color w:val="000000"/>
      </w:rPr>
    </w:lvl>
  </w:abstractNum>
  <w:abstractNum w:abstractNumId="32">
    <w:lvl w:ilvl="0">
      <w:start w:val="1"/>
      <w:numFmt w:val="decimal"/>
      <w:lvlText w:val="%1."/>
      <w:lvlJc w:val="left"/>
      <w:pPr>
        <w:tabs>
          <w:tab w:val="num" w:pos="0"/>
        </w:tabs>
        <w:ind w:left="720" w:hanging="360"/>
      </w:pPr>
      <w:rPr/>
    </w:lvl>
  </w:abstractNum>
  <w:abstractNum w:abstractNumId="33">
    <w:lvl w:ilvl="0">
      <w:start w:val="1"/>
      <w:numFmt w:val="bullet"/>
      <w:lvlText w:val=""/>
      <w:lvlJc w:val="left"/>
      <w:pPr>
        <w:tabs>
          <w:tab w:val="num" w:pos="0"/>
        </w:tabs>
        <w:ind w:left="1440" w:hanging="360"/>
      </w:pPr>
      <w:rPr>
        <w:rFonts w:ascii="Symbol" w:hAnsi="Symbol" w:cs="Symbol" w:hint="default"/>
      </w:rPr>
    </w:lvl>
  </w:abstractNum>
  <w:abstractNum w:abstractNumId="34">
    <w:lvl w:ilvl="0">
      <w:start w:val="1"/>
      <w:numFmt w:val="decimal"/>
      <w:lvlText w:val="%1."/>
      <w:lvlJc w:val="left"/>
      <w:pPr>
        <w:tabs>
          <w:tab w:val="num" w:pos="0"/>
        </w:tabs>
        <w:ind w:left="720" w:hanging="360"/>
      </w:pPr>
      <w:rPr/>
    </w:lvl>
  </w:abstractNum>
  <w:abstractNum w:abstractNumId="35">
    <w:lvl w:ilvl="0">
      <w:start w:val="1"/>
      <w:numFmt w:val="lowerLetter"/>
      <w:lvlText w:val="%1."/>
      <w:lvlJc w:val="left"/>
      <w:pPr>
        <w:tabs>
          <w:tab w:val="num" w:pos="0"/>
        </w:tabs>
        <w:ind w:left="720" w:hanging="360"/>
      </w:pPr>
      <w:rPr/>
    </w:lvl>
  </w:abstractNum>
  <w:abstractNum w:abstractNumId="36">
    <w:lvl w:ilvl="0">
      <w:start w:val="1"/>
      <w:numFmt w:val="lowerLetter"/>
      <w:lvlText w:val="%1."/>
      <w:lvlJc w:val="left"/>
      <w:pPr>
        <w:tabs>
          <w:tab w:val="num" w:pos="0"/>
        </w:tabs>
        <w:ind w:left="720" w:hanging="360"/>
      </w:pPr>
      <w:rPr/>
    </w:lvl>
  </w:abstractNum>
  <w:abstractNum w:abstractNumId="37">
    <w:lvl w:ilvl="0">
      <w:start w:val="1"/>
      <w:numFmt w:val="bullet"/>
      <w:lvlText w:val=""/>
      <w:lvlJc w:val="left"/>
      <w:pPr>
        <w:tabs>
          <w:tab w:val="num" w:pos="0"/>
        </w:tabs>
        <w:ind w:left="720" w:hanging="360"/>
      </w:pPr>
      <w:rPr>
        <w:rFonts w:ascii="Symbol" w:hAnsi="Symbol" w:cs="Symbol"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abstractNum>
  <w:abstractNum w:abstractNumId="39">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sz w:val="24"/>
        <w:szCs w:val="24"/>
        <w:rFonts w:ascii="Times New Roman" w:hAnsi="Times New Roman" w:cs="Times New Roman"/>
      </w:rPr>
    </w:lvl>
  </w:abstractNum>
  <w:abstractNum w:abstractNumId="41">
    <w:lvl w:ilvl="0">
      <w:start w:val="1"/>
      <w:numFmt w:val="decimal"/>
      <w:lvlText w:val="%1."/>
      <w:lvlJc w:val="left"/>
      <w:pPr>
        <w:tabs>
          <w:tab w:val="num" w:pos="0"/>
        </w:tabs>
        <w:ind w:left="720" w:hanging="360"/>
      </w:pPr>
      <w:rPr/>
    </w:lvl>
  </w:abstractNum>
  <w:abstractNum w:abstractNumId="42">
    <w:lvl w:ilvl="0">
      <w:start w:val="1"/>
      <w:numFmt w:val="bullet"/>
      <w:lvlText w:val=""/>
      <w:lvlJc w:val="left"/>
      <w:pPr>
        <w:tabs>
          <w:tab w:val="num" w:pos="0"/>
        </w:tabs>
        <w:ind w:left="780" w:hanging="360"/>
      </w:pPr>
      <w:rPr>
        <w:rFonts w:ascii="Symbol" w:hAnsi="Symbol" w:cs="Symbol" w:hint="default"/>
        <w:sz w:val="24"/>
        <w:szCs w:val="24"/>
      </w:rPr>
    </w:lvl>
  </w:abstractNum>
  <w:abstractNum w:abstractNumId="43">
    <w:lvl w:ilvl="0">
      <w:start w:val="1"/>
      <w:numFmt w:val="decimal"/>
      <w:lvlText w:val="%1."/>
      <w:lvlJc w:val="left"/>
      <w:pPr>
        <w:tabs>
          <w:tab w:val="num" w:pos="0"/>
        </w:tabs>
        <w:ind w:left="360" w:hanging="360"/>
      </w:pPr>
      <w:rPr>
        <w:color w:val="000000"/>
      </w:rPr>
    </w:lvl>
    <w:lvl w:ilvl="1">
      <w:start w:val="0"/>
      <w:numFmt w:val="bullet"/>
      <w:lvlText w:val="◦"/>
      <w:lvlJc w:val="left"/>
      <w:pPr>
        <w:tabs>
          <w:tab w:val="num" w:pos="0"/>
        </w:tabs>
        <w:ind w:left="1080" w:hanging="360"/>
      </w:pPr>
      <w:rPr>
        <w:rFonts w:ascii="OpenSymbol" w:hAnsi="OpenSymbol" w:cs="OpenSymbol" w:hint="default"/>
        <w:color w:val="000000"/>
      </w:rPr>
    </w:lvl>
    <w:lvl w:ilvl="2">
      <w:start w:val="0"/>
      <w:numFmt w:val="bullet"/>
      <w:lvlText w:val="▪"/>
      <w:lvlJc w:val="left"/>
      <w:pPr>
        <w:tabs>
          <w:tab w:val="num" w:pos="0"/>
        </w:tabs>
        <w:ind w:left="1800" w:hanging="180"/>
      </w:pPr>
      <w:rPr>
        <w:rFonts w:ascii="OpenSymbol" w:hAnsi="OpenSymbol" w:cs="OpenSymbol" w:hint="default"/>
        <w:color w:val="000000"/>
      </w:rPr>
    </w:lvl>
    <w:lvl w:ilvl="3">
      <w:start w:val="1"/>
      <w:numFmt w:val="decimal"/>
      <w:lvlText w:val="%4."/>
      <w:lvlJc w:val="left"/>
      <w:pPr>
        <w:tabs>
          <w:tab w:val="num" w:pos="0"/>
        </w:tabs>
        <w:ind w:left="2520" w:hanging="360"/>
      </w:pPr>
      <w:rPr>
        <w:color w:val="000000"/>
      </w:rPr>
    </w:lvl>
    <w:lvl w:ilvl="4">
      <w:start w:val="0"/>
      <w:numFmt w:val="bullet"/>
      <w:lvlText w:val="◦"/>
      <w:lvlJc w:val="left"/>
      <w:pPr>
        <w:tabs>
          <w:tab w:val="num" w:pos="0"/>
        </w:tabs>
        <w:ind w:left="3240" w:hanging="360"/>
      </w:pPr>
      <w:rPr>
        <w:rFonts w:ascii="OpenSymbol" w:hAnsi="OpenSymbol" w:cs="OpenSymbol" w:hint="default"/>
        <w:color w:val="000000"/>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dstrike w:val="false"/>
        <w:strike w:val="false"/>
        <w:sz w:val="24"/>
        <w:u w:val="none"/>
        <w:szCs w:val="24"/>
        <w:rFonts w:ascii="Times New Roman" w:hAnsi="Times New Roman" w:eastAsia="TimesNewRoman" w:cs="Times New Roman"/>
        <w:color w:val="000000"/>
      </w:rPr>
    </w:lvl>
    <w:lvl w:ilvl="8">
      <w:start w:val="1"/>
      <w:numFmt w:val="lowerRoman"/>
      <w:lvlText w:val="%9."/>
      <w:lvlJc w:val="right"/>
      <w:pPr>
        <w:tabs>
          <w:tab w:val="num" w:pos="0"/>
        </w:tabs>
        <w:ind w:left="6120" w:hanging="180"/>
      </w:pPr>
      <w:rPr/>
    </w:lvl>
  </w:abstractNum>
  <w:abstractNum w:abstractNumId="44">
    <w:lvl w:ilvl="0">
      <w:start w:val="1"/>
      <w:numFmt w:val="decimal"/>
      <w:lvlText w:val="%1."/>
      <w:lvlJc w:val="left"/>
      <w:pPr>
        <w:tabs>
          <w:tab w:val="num" w:pos="0"/>
        </w:tabs>
        <w:ind w:left="360" w:hanging="360"/>
      </w:pPr>
      <w:rPr>
        <w:color w:val="000000"/>
      </w:rPr>
    </w:lvl>
    <w:lvl w:ilvl="1">
      <w:start w:val="0"/>
      <w:numFmt w:val="bullet"/>
      <w:lvlText w:val="◦"/>
      <w:lvlJc w:val="left"/>
      <w:pPr>
        <w:tabs>
          <w:tab w:val="num" w:pos="0"/>
        </w:tabs>
        <w:ind w:left="1080" w:hanging="360"/>
      </w:pPr>
      <w:rPr>
        <w:rFonts w:ascii="OpenSymbol" w:hAnsi="OpenSymbol" w:cs="OpenSymbol" w:hint="default"/>
        <w:color w:val="000000"/>
      </w:rPr>
    </w:lvl>
    <w:lvl w:ilvl="2">
      <w:start w:val="0"/>
      <w:numFmt w:val="bullet"/>
      <w:lvlText w:val="▪"/>
      <w:lvlJc w:val="left"/>
      <w:pPr>
        <w:tabs>
          <w:tab w:val="num" w:pos="0"/>
        </w:tabs>
        <w:ind w:left="1800" w:hanging="180"/>
      </w:pPr>
      <w:rPr>
        <w:rFonts w:ascii="OpenSymbol" w:hAnsi="OpenSymbol" w:cs="OpenSymbol" w:hint="default"/>
        <w:color w:val="000000"/>
      </w:rPr>
    </w:lvl>
    <w:lvl w:ilvl="3">
      <w:start w:val="1"/>
      <w:numFmt w:val="decimal"/>
      <w:lvlText w:val="%4."/>
      <w:lvlJc w:val="left"/>
      <w:pPr>
        <w:tabs>
          <w:tab w:val="num" w:pos="0"/>
        </w:tabs>
        <w:ind w:left="2520" w:hanging="360"/>
      </w:pPr>
      <w:rPr>
        <w:color w:val="000000"/>
      </w:rPr>
    </w:lvl>
    <w:lvl w:ilvl="4">
      <w:start w:val="0"/>
      <w:numFmt w:val="bullet"/>
      <w:lvlText w:val="◦"/>
      <w:lvlJc w:val="left"/>
      <w:pPr>
        <w:tabs>
          <w:tab w:val="num" w:pos="0"/>
        </w:tabs>
        <w:ind w:left="3240" w:hanging="360"/>
      </w:pPr>
      <w:rPr>
        <w:rFonts w:ascii="OpenSymbol" w:hAnsi="OpenSymbol" w:cs="OpenSymbol" w:hint="default"/>
        <w:color w:val="000000"/>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dstrike w:val="false"/>
        <w:strike w:val="false"/>
        <w:sz w:val="24"/>
        <w:u w:val="none"/>
        <w:szCs w:val="24"/>
        <w:rFonts w:ascii="Times New Roman" w:hAnsi="Times New Roman" w:eastAsia="TimesNewRoman" w:cs="Times New Roman"/>
        <w:color w:val="000000"/>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720" w:hanging="720"/>
      </w:pPr>
      <w:rPr>
        <w:sz w:val="22"/>
        <w:b/>
        <w:szCs w:val="22"/>
      </w:rPr>
    </w:lvl>
    <w:lvl w:ilvl="1">
      <w:start w:val="1"/>
      <w:numFmt w:val="decimal"/>
      <w:lvlText w:val="%2."/>
      <w:lvlJc w:val="left"/>
      <w:pPr>
        <w:tabs>
          <w:tab w:val="num" w:pos="0"/>
        </w:tabs>
        <w:ind w:left="360" w:hanging="360"/>
      </w:pPr>
      <w:rPr/>
    </w:lvl>
    <w:lvl w:ilvl="2">
      <w:start w:val="1"/>
      <w:numFmt w:val="lowerLetter"/>
      <w:lvlText w:val="%3)"/>
      <w:lvlJc w:val="left"/>
      <w:pPr>
        <w:tabs>
          <w:tab w:val="num" w:pos="0"/>
        </w:tabs>
        <w:ind w:left="787" w:hanging="360"/>
      </w:pPr>
      <w:rPr>
        <w:sz w:val="24"/>
        <w:szCs w:val="24"/>
        <w:rFonts w:ascii="Times New Roman" w:hAnsi="Times New Roman" w:eastAsia="TimesNewRoman" w:cs="Times New Roman"/>
        <w:color w:val="00000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17"/>
    <w:lvlOverride w:ilvl="0">
      <w:startOverride w:val="1"/>
    </w:lvlOverride>
  </w:num>
  <w:num w:numId="47">
    <w:abstractNumId w:val="22"/>
    <w:lvlOverride w:ilvl="0">
      <w:startOverride w:val="1"/>
    </w:lvlOverride>
  </w:num>
  <w:num w:numId="48">
    <w:abstractNumId w:val="36"/>
    <w:lvlOverride w:ilvl="0">
      <w:startOverride w:val="1"/>
    </w:lvlOverride>
  </w:num>
  <w:num w:numId="49">
    <w:abstractNumId w:val="35"/>
    <w:lvlOverride w:ilvl="0">
      <w:startOverride w:val="1"/>
    </w:lvlOverride>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l-PL"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pl-PL" w:bidi="ar-SA" w:eastAsia="zh-CN"/>
    </w:rPr>
  </w:style>
  <w:style w:type="paragraph" w:styleId="Nagwek1">
    <w:name w:val="Heading 1"/>
    <w:basedOn w:val="Normal"/>
    <w:next w:val="Normal"/>
    <w:qFormat/>
    <w:pPr>
      <w:keepNext w:val="true"/>
      <w:numPr>
        <w:ilvl w:val="0"/>
        <w:numId w:val="1"/>
      </w:numPr>
      <w:suppressAutoHyphens w:val="true"/>
      <w:spacing w:lineRule="auto" w:line="240" w:before="240" w:after="60"/>
      <w:outlineLvl w:val="0"/>
    </w:pPr>
    <w:rPr>
      <w:rFonts w:ascii="Cambria" w:hAnsi="Cambria" w:eastAsia="Times New Roman" w:cs="Cambria"/>
      <w:b/>
      <w:bCs/>
      <w:kern w:val="2"/>
      <w:sz w:val="32"/>
      <w:szCs w:val="32"/>
    </w:rPr>
  </w:style>
  <w:style w:type="paragraph" w:styleId="Nagwek2">
    <w:name w:val="Heading 2"/>
    <w:basedOn w:val="Nagwek3"/>
    <w:next w:val="Tretekstu"/>
    <w:qFormat/>
    <w:pPr>
      <w:numPr>
        <w:ilvl w:val="1"/>
        <w:numId w:val="1"/>
      </w:numPr>
      <w:ind w:left="576" w:hanging="576"/>
      <w:outlineLvl w:val="1"/>
    </w:pPr>
    <w:rPr>
      <w:b/>
      <w:bCs/>
      <w:i/>
      <w:iCs/>
    </w:rPr>
  </w:style>
  <w:style w:type="paragraph" w:styleId="Nagwek4">
    <w:name w:val="Heading 4"/>
    <w:basedOn w:val="Normal"/>
    <w:next w:val="Normal"/>
    <w:qFormat/>
    <w:pPr>
      <w:keepNext w:val="true"/>
      <w:keepLines/>
      <w:numPr>
        <w:ilvl w:val="3"/>
        <w:numId w:val="1"/>
      </w:numPr>
      <w:spacing w:before="200" w:after="0"/>
      <w:outlineLvl w:val="3"/>
    </w:pPr>
    <w:rPr>
      <w:rFonts w:ascii="Cambria" w:hAnsi="Cambria" w:eastAsia="Times New Roman" w:cs="Cambria"/>
      <w:b/>
      <w:bCs/>
      <w:i/>
      <w:iCs/>
      <w:color w:val="4F81BD"/>
    </w:rPr>
  </w:style>
  <w:style w:type="character" w:styleId="WW8Num1z0">
    <w:name w:val="WW8Num1z0"/>
    <w:qFormat/>
    <w:rPr>
      <w:color w:val="000000"/>
      <w:position w:val="0"/>
      <w:sz w:val="24"/>
      <w:sz w:val="24"/>
      <w:szCs w:val="24"/>
      <w:vertAlign w:val="baseline"/>
    </w:rPr>
  </w:style>
  <w:style w:type="character" w:styleId="WW8Num2z0">
    <w:name w:val="WW8Num2z0"/>
    <w:qFormat/>
    <w:rPr>
      <w:color w:val="000000"/>
      <w:position w:val="0"/>
      <w:sz w:val="24"/>
      <w:sz w:val="24"/>
      <w:vertAlign w:val="baseline"/>
    </w:rPr>
  </w:style>
  <w:style w:type="character" w:styleId="WW8Num3z0">
    <w:name w:val="WW8Num3z0"/>
    <w:qFormat/>
    <w:rPr>
      <w:color w:val="000000"/>
      <w:position w:val="0"/>
      <w:sz w:val="24"/>
      <w:sz w:val="24"/>
      <w:vertAlign w:val="baseline"/>
    </w:rPr>
  </w:style>
  <w:style w:type="character" w:styleId="WW8Num4z0">
    <w:name w:val="WW8Num4z0"/>
    <w:qFormat/>
    <w:rPr>
      <w:color w:val="000000"/>
      <w:position w:val="0"/>
      <w:sz w:val="24"/>
      <w:sz w:val="24"/>
      <w:vertAlign w:val="baseline"/>
    </w:rPr>
  </w:style>
  <w:style w:type="character" w:styleId="WW8Num5z0">
    <w:name w:val="WW8Num5z0"/>
    <w:qFormat/>
    <w:rPr>
      <w:color w:val="000000"/>
      <w:position w:val="0"/>
      <w:sz w:val="24"/>
      <w:sz w:val="24"/>
      <w:vertAlign w:val="baseline"/>
    </w:rPr>
  </w:style>
  <w:style w:type="character" w:styleId="WW8Num6z0">
    <w:name w:val="WW8Num6z0"/>
    <w:qFormat/>
    <w:rPr>
      <w:color w:val="000000"/>
      <w:position w:val="0"/>
      <w:sz w:val="24"/>
      <w:sz w:val="24"/>
      <w:vertAlign w:val="baseline"/>
    </w:rPr>
  </w:style>
  <w:style w:type="character" w:styleId="WW8Num6z1">
    <w:name w:val="WW8Num6z1"/>
    <w:qFormat/>
    <w:rPr>
      <w:rFonts w:ascii="Courier New" w:hAnsi="Courier New" w:eastAsia="ヒラギノ角ゴ Pro W3" w:cs="Courier New"/>
      <w:color w:val="000000"/>
      <w:position w:val="0"/>
      <w:sz w:val="24"/>
      <w:sz w:val="24"/>
      <w:vertAlign w:val="baseline"/>
    </w:rPr>
  </w:style>
  <w:style w:type="character" w:styleId="WW8Num6z2">
    <w:name w:val="WW8Num6z2"/>
    <w:qFormat/>
    <w:rPr>
      <w:rFonts w:ascii="Wingdings" w:hAnsi="Wingdings" w:eastAsia="ヒラギノ角ゴ Pro W3" w:cs="Wingdings"/>
      <w:color w:val="000000"/>
      <w:position w:val="0"/>
      <w:sz w:val="24"/>
      <w:sz w:val="24"/>
      <w:vertAlign w:val="baseline"/>
    </w:rPr>
  </w:style>
  <w:style w:type="character" w:styleId="WW8Num7z0">
    <w:name w:val="WW8Num7z0"/>
    <w:qFormat/>
    <w:rPr>
      <w:rFonts w:ascii="Times New Roman" w:hAnsi="Times New Roman" w:cs="Times New Roman"/>
      <w:color w:val="000000"/>
      <w:position w:val="0"/>
      <w:sz w:val="24"/>
      <w:sz w:val="24"/>
      <w:szCs w:val="24"/>
      <w:vertAlign w:val="baseline"/>
    </w:rPr>
  </w:style>
  <w:style w:type="character" w:styleId="WW8Num7z1">
    <w:name w:val="WW8Num7z1"/>
    <w:qFormat/>
    <w:rPr>
      <w:rFonts w:ascii="Courier New" w:hAnsi="Courier New" w:eastAsia="ヒラギノ角ゴ Pro W3" w:cs="Courier New"/>
      <w:color w:val="000000"/>
      <w:position w:val="0"/>
      <w:sz w:val="24"/>
      <w:sz w:val="24"/>
      <w:vertAlign w:val="baseline"/>
    </w:rPr>
  </w:style>
  <w:style w:type="character" w:styleId="WW8Num7z2">
    <w:name w:val="WW8Num7z2"/>
    <w:qFormat/>
    <w:rPr>
      <w:rFonts w:ascii="Wingdings" w:hAnsi="Wingdings" w:eastAsia="ヒラギノ角ゴ Pro W3" w:cs="Wingdings"/>
      <w:color w:val="000000"/>
      <w:position w:val="0"/>
      <w:sz w:val="24"/>
      <w:sz w:val="24"/>
      <w:vertAlign w:val="baseline"/>
    </w:rPr>
  </w:style>
  <w:style w:type="character" w:styleId="WW8Num8z0">
    <w:name w:val="WW8Num8z0"/>
    <w:qFormat/>
    <w:rPr>
      <w:b w:val="false"/>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color w:val="000000"/>
      <w:sz w:val="24"/>
      <w:szCs w:val="24"/>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Times New Roman" w:hAnsi="Times New Roman" w:cs="Times New Roman"/>
      <w:sz w:val="24"/>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cs="Times New Roman"/>
      <w:color w:val="000000"/>
      <w:sz w:val="24"/>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rFonts w:ascii="Times New Roman" w:hAnsi="Times New Roman" w:cs="Times New Roman"/>
      <w:b/>
      <w:color w:val="000000"/>
      <w:sz w:val="24"/>
      <w:szCs w:val="24"/>
    </w:rPr>
  </w:style>
  <w:style w:type="character" w:styleId="WW8Num15z0">
    <w:name w:val="WW8Num15z0"/>
    <w:qFormat/>
    <w:rPr>
      <w:rFonts w:ascii="Symbol" w:hAnsi="Symbol" w:eastAsia="Times New Roman" w:cs="Symbol"/>
      <w:sz w:val="24"/>
      <w:szCs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cs="Times New Roman"/>
      <w:b w:val="false"/>
      <w:color w:val="0070C0"/>
      <w:sz w:val="20"/>
      <w:szCs w:val="20"/>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cs="Times New Roman"/>
      <w:b/>
      <w:sz w:val="24"/>
      <w:szCs w:val="24"/>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cs="Times New Roman"/>
      <w:strike w:val="false"/>
      <w:dstrike w:val="false"/>
      <w:color w:val="000000"/>
      <w:sz w:val="24"/>
      <w:szCs w:val="24"/>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color w:val="FF0000"/>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Times New Roman" w:hAnsi="Times New Roman" w:eastAsia="Calibri" w:cs="Times New Roman"/>
      <w:color w:val="000000"/>
      <w:kern w:val="0"/>
      <w:lang w:eastAsia="en-US"/>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Calibri" w:cs="Times New Roman"/>
      <w:sz w:val="24"/>
      <w:szCs w:val="24"/>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rFonts w:ascii="Times New Roman" w:hAnsi="Times New Roman" w:eastAsia="Calibri" w:cs="Times New Roman"/>
      <w:strike w:val="false"/>
      <w:dstrike w:val="false"/>
      <w:u w:val="none"/>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sz w:val="24"/>
      <w:szCs w:val="24"/>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color w:val="000000"/>
    </w:rPr>
  </w:style>
  <w:style w:type="character" w:styleId="WW8Num25z1">
    <w:name w:val="WW8Num25z1"/>
    <w:qFormat/>
    <w:rPr>
      <w:rFonts w:ascii="Symbol" w:hAnsi="Symbol" w:cs="Symbol"/>
      <w:color w:val="000000"/>
    </w:rPr>
  </w:style>
  <w:style w:type="character" w:styleId="WW8Num25z5">
    <w:name w:val="WW8Num25z5"/>
    <w:qFormat/>
    <w:rPr/>
  </w:style>
  <w:style w:type="character" w:styleId="WW8Num25z6">
    <w:name w:val="WW8Num25z6"/>
    <w:qFormat/>
    <w:rPr/>
  </w:style>
  <w:style w:type="character" w:styleId="WW8Num25z7">
    <w:name w:val="WW8Num25z7"/>
    <w:qFormat/>
    <w:rPr>
      <w:rFonts w:ascii="Times New Roman" w:hAnsi="Times New Roman" w:eastAsia="TimesNewRoman" w:cs="Times New Roman"/>
      <w:strike w:val="false"/>
      <w:dstrike w:val="false"/>
      <w:color w:val="000000"/>
      <w:sz w:val="24"/>
      <w:szCs w:val="24"/>
      <w:u w:val="none"/>
    </w:rPr>
  </w:style>
  <w:style w:type="character" w:styleId="WW8Num25z8">
    <w:name w:val="WW8Num25z8"/>
    <w:qFormat/>
    <w:rPr/>
  </w:style>
  <w:style w:type="character" w:styleId="WW8Num26z0">
    <w:name w:val="WW8Num26z0"/>
    <w:qFormat/>
    <w:rPr>
      <w:b/>
      <w:sz w:val="22"/>
      <w:szCs w:val="22"/>
    </w:rPr>
  </w:style>
  <w:style w:type="character" w:styleId="WW8Num26z1">
    <w:name w:val="WW8Num26z1"/>
    <w:qFormat/>
    <w:rPr/>
  </w:style>
  <w:style w:type="character" w:styleId="WW8Num26z2">
    <w:name w:val="WW8Num26z2"/>
    <w:qFormat/>
    <w:rPr>
      <w:rFonts w:ascii="Times New Roman" w:hAnsi="Times New Roman" w:eastAsia="TimesNewRoman" w:cs="Times New Roman"/>
      <w:color w:val="000000"/>
      <w:sz w:val="24"/>
      <w:szCs w:val="24"/>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color w:val="000000"/>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Times New Roman" w:hAnsi="Times New Roman" w:cs="Times New Roman"/>
      <w:bCs/>
      <w:sz w:val="24"/>
      <w:szCs w:val="24"/>
      <w:lang w:eastAsia="pl-PL"/>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cs="Symbol"/>
      <w:sz w:val="24"/>
      <w:szCs w:val="24"/>
      <w:shd w:fill="FFFFFF" w:val="clear"/>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Times New Roman" w:hAnsi="Times New Roman" w:cs="Times New Roman"/>
      <w:color w:val="000000"/>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Times New Roman" w:hAnsi="Times New Roman" w:cs="Times New Roman"/>
      <w:sz w:val="24"/>
      <w:szCs w:val="24"/>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cs="Times New Roman"/>
      <w:sz w:val="24"/>
      <w:szCs w:val="24"/>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color w:val="000000"/>
    </w:rPr>
  </w:style>
  <w:style w:type="character" w:styleId="WW8Num44z1">
    <w:name w:val="WW8Num44z1"/>
    <w:qFormat/>
    <w:rPr>
      <w:rFonts w:ascii="Symbol" w:hAnsi="Symbol" w:cs="Symbol"/>
      <w:color w:val="000000"/>
    </w:rPr>
  </w:style>
  <w:style w:type="character" w:styleId="WW8Num44z5">
    <w:name w:val="WW8Num44z5"/>
    <w:qFormat/>
    <w:rPr/>
  </w:style>
  <w:style w:type="character" w:styleId="WW8Num44z6">
    <w:name w:val="WW8Num44z6"/>
    <w:qFormat/>
    <w:rPr/>
  </w:style>
  <w:style w:type="character" w:styleId="WW8Num44z7">
    <w:name w:val="WW8Num44z7"/>
    <w:qFormat/>
    <w:rPr>
      <w:rFonts w:ascii="Times New Roman" w:hAnsi="Times New Roman" w:eastAsia="TimesNewRoman" w:cs="Times New Roman"/>
      <w:strike w:val="false"/>
      <w:dstrike w:val="false"/>
      <w:color w:val="000000"/>
      <w:sz w:val="24"/>
      <w:szCs w:val="24"/>
      <w:u w:val="none"/>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Symbol" w:hAnsi="Symbol" w:cs="Symbol"/>
      <w:sz w:val="24"/>
      <w:szCs w:val="24"/>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Domylnaczcionkaakapitu">
    <w:name w:val="Domyślna czcionka akapitu"/>
    <w:qFormat/>
    <w:rPr/>
  </w:style>
  <w:style w:type="character" w:styleId="NagwekZnak">
    <w:name w:val="Nagłówek Znak"/>
    <w:basedOn w:val="Domylnaczcionkaakapitu"/>
    <w:qFormat/>
    <w:rPr/>
  </w:style>
  <w:style w:type="character" w:styleId="StopkaZnak">
    <w:name w:val="Stopka Znak"/>
    <w:basedOn w:val="Domylnaczcionkaakapitu"/>
    <w:qFormat/>
    <w:rPr/>
  </w:style>
  <w:style w:type="character" w:styleId="Nagwek1Znak">
    <w:name w:val="Nagłówek 1 Znak"/>
    <w:basedOn w:val="Domylnaczcionkaakapitu"/>
    <w:qFormat/>
    <w:rPr>
      <w:rFonts w:ascii="Cambria" w:hAnsi="Cambria" w:eastAsia="Times New Roman" w:cs="Cambria"/>
      <w:b/>
      <w:bCs/>
      <w:kern w:val="2"/>
      <w:sz w:val="32"/>
      <w:szCs w:val="32"/>
    </w:rPr>
  </w:style>
  <w:style w:type="character" w:styleId="Nagwek2Znak">
    <w:name w:val="Nagłówek 2 Znak"/>
    <w:basedOn w:val="Domylnaczcionkaakapitu"/>
    <w:qFormat/>
    <w:rPr>
      <w:rFonts w:ascii="Arial" w:hAnsi="Arial" w:eastAsia="Microsoft YaHei" w:cs="Mangal;Courier New"/>
      <w:b/>
      <w:bCs/>
      <w:i/>
      <w:iCs/>
      <w:sz w:val="28"/>
      <w:szCs w:val="28"/>
    </w:rPr>
  </w:style>
  <w:style w:type="character" w:styleId="WW8Num2z1">
    <w:name w:val="WW8Num2z1"/>
    <w:qFormat/>
    <w:rPr>
      <w:rFonts w:ascii="Courier New" w:hAnsi="Courier New" w:cs="Courier New"/>
    </w:rPr>
  </w:style>
  <w:style w:type="character" w:styleId="WW8Num3z1">
    <w:name w:val="WW8Num3z1"/>
    <w:qFormat/>
    <w:rPr>
      <w:rFonts w:ascii="Symbol" w:hAnsi="Symbol" w:cs="Symbol"/>
    </w:rPr>
  </w:style>
  <w:style w:type="character" w:styleId="WW8Num4z1">
    <w:name w:val="WW8Num4z1"/>
    <w:qFormat/>
    <w:rPr>
      <w:rFonts w:ascii="Wingdings" w:hAnsi="Wingdings" w:cs="Wingdings"/>
    </w:rPr>
  </w:style>
  <w:style w:type="character" w:styleId="WW8Num5z1">
    <w:name w:val="WW8Num5z1"/>
    <w:qFormat/>
    <w:rPr>
      <w:rFonts w:ascii="Courier New" w:hAnsi="Courier New" w:cs="Courier New"/>
    </w:rPr>
  </w:style>
  <w:style w:type="character" w:styleId="Domylnaczcionkaakapitu6">
    <w:name w:val="Domyślna czcionka akapitu6"/>
    <w:qFormat/>
    <w:rPr/>
  </w:style>
  <w:style w:type="character" w:styleId="TekstdymkaZnak">
    <w:name w:val="Tekst dymka Znak"/>
    <w:basedOn w:val="Domylnaczcionkaakapitu6"/>
    <w:qFormat/>
    <w:rPr>
      <w:rFonts w:ascii="Tahoma" w:hAnsi="Tahoma" w:cs="Tahoma"/>
      <w:sz w:val="16"/>
      <w:szCs w:val="16"/>
    </w:rPr>
  </w:style>
  <w:style w:type="character" w:styleId="TekstprzypisudolnegoZnak">
    <w:name w:val="Tekst przypisu dolnego Znak"/>
    <w:basedOn w:val="Domylnaczcionkaakapitu6"/>
    <w:qFormat/>
    <w:rPr>
      <w:sz w:val="20"/>
      <w:szCs w:val="20"/>
    </w:rPr>
  </w:style>
  <w:style w:type="character" w:styleId="Znakiprzypiswdolnych">
    <w:name w:val="Znaki przypisów dolnych"/>
    <w:basedOn w:val="Domylnaczcionkaakapitu6"/>
    <w:qFormat/>
    <w:rPr>
      <w:vertAlign w:val="superscrip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Domylnaczcionkaakapitu5">
    <w:name w:val="Domyślna czcionka akapitu5"/>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Domylnaczcionkaakapitu4">
    <w:name w:val="Domyślna czcionka akapitu4"/>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8Num1z1">
    <w:name w:val="WW8Num1z1"/>
    <w:qFormat/>
    <w:rPr>
      <w:rFonts w:ascii="Wingdings" w:hAnsi="Wingdings" w:cs="Wingdings"/>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Domylnaczcionkaakapitu3">
    <w:name w:val="Domyślna czcionka akapitu3"/>
    <w:qFormat/>
    <w:rPr/>
  </w:style>
  <w:style w:type="character" w:styleId="WW8Num3z2">
    <w:name w:val="WW8Num3z2"/>
    <w:qFormat/>
    <w:rPr>
      <w:rFonts w:ascii="Wingdings" w:hAnsi="Wingdings" w:cs="Wingdings"/>
    </w:rPr>
  </w:style>
  <w:style w:type="character" w:styleId="WW8Num4z2">
    <w:name w:val="WW8Num4z2"/>
    <w:qFormat/>
    <w:rPr>
      <w:rFonts w:ascii="Wingdings" w:hAnsi="Wingdings" w:cs="Wingdings"/>
    </w:rPr>
  </w:style>
  <w:style w:type="character" w:styleId="WW8Num5z3">
    <w:name w:val="WW8Num5z3"/>
    <w:qFormat/>
    <w:rPr>
      <w:rFonts w:ascii="Symbol" w:hAnsi="Symbol" w:cs="Symbol"/>
    </w:rPr>
  </w:style>
  <w:style w:type="character" w:styleId="WW8Num6z3">
    <w:name w:val="WW8Num6z3"/>
    <w:qFormat/>
    <w:rPr>
      <w:rFonts w:ascii="Symbol" w:hAnsi="Symbol" w:cs="Symbol"/>
    </w:rPr>
  </w:style>
  <w:style w:type="character" w:styleId="Domylnaczcionkaakapitu2">
    <w:name w:val="Domyślna czcionka akapitu2"/>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8Num1z4">
    <w:name w:val="WW8Num1z4"/>
    <w:qFormat/>
    <w:rPr>
      <w:rFonts w:ascii="Courier New" w:hAnsi="Courier New" w:cs="Courier New"/>
    </w:rPr>
  </w:style>
  <w:style w:type="character" w:styleId="WW8Num2z3">
    <w:name w:val="WW8Num2z3"/>
    <w:qFormat/>
    <w:rPr>
      <w:rFonts w:ascii="Symbol" w:hAnsi="Symbol" w:cs="Symbol"/>
    </w:rPr>
  </w:style>
  <w:style w:type="character" w:styleId="Domylnaczcionkaakapitu1">
    <w:name w:val="Domyślna czcionka akapitu1"/>
    <w:qFormat/>
    <w:rPr/>
  </w:style>
  <w:style w:type="character" w:styleId="Znakinumeracji">
    <w:name w:val="Znaki numeracji"/>
    <w:qFormat/>
    <w:rPr/>
  </w:style>
  <w:style w:type="character" w:styleId="Symbolewypunktowania">
    <w:name w:val="Symbole wypunktowania"/>
    <w:qFormat/>
    <w:rPr>
      <w:rFonts w:ascii="OpenSymbol" w:hAnsi="OpenSymbol" w:eastAsia="OpenSymbol" w:cs="OpenSymbol"/>
    </w:rPr>
  </w:style>
  <w:style w:type="character" w:styleId="Bullets">
    <w:name w:val="Bullets"/>
    <w:qFormat/>
    <w:rPr>
      <w:rFonts w:ascii="OpenSymbol" w:hAnsi="OpenSymbol" w:eastAsia="OpenSymbol" w:cs="OpenSymbol"/>
    </w:rPr>
  </w:style>
  <w:style w:type="character" w:styleId="WWZnakiprzypiswdolnych">
    <w:name w:val="WW-Znaki przypisów dolnych"/>
    <w:qFormat/>
    <w:rPr>
      <w:vertAlign w:val="superscript"/>
    </w:rPr>
  </w:style>
  <w:style w:type="character" w:styleId="Odwoaniedokomentarza1">
    <w:name w:val="Odwołanie do komentarza1"/>
    <w:basedOn w:val="Domylnaczcionkaakapitu3"/>
    <w:qFormat/>
    <w:rPr>
      <w:sz w:val="16"/>
      <w:szCs w:val="16"/>
    </w:rPr>
  </w:style>
  <w:style w:type="character" w:styleId="WWZnakiprzypiswdolnych1">
    <w:name w:val="WW-Znaki przypisów dolnych1"/>
    <w:qFormat/>
    <w:rPr>
      <w:vertAlign w:val="superscript"/>
    </w:rPr>
  </w:style>
  <w:style w:type="character" w:styleId="Znakiprzypiswkocowych">
    <w:name w:val="Znaki przypisów końcowych"/>
    <w:qFormat/>
    <w:rPr>
      <w:vertAlign w:val="superscript"/>
    </w:rPr>
  </w:style>
  <w:style w:type="character" w:styleId="WWZnakiprzypiswkocowych">
    <w:name w:val="WW-Znaki przypisów końcowych"/>
    <w:qFormat/>
    <w:rPr/>
  </w:style>
  <w:style w:type="character" w:styleId="Odwoanieprzypisudolnego1">
    <w:name w:val="Odwołanie przypisu dolnego1"/>
    <w:qFormat/>
    <w:rPr>
      <w:vertAlign w:val="superscript"/>
    </w:rPr>
  </w:style>
  <w:style w:type="character" w:styleId="Odwoanieprzypisukocowego1">
    <w:name w:val="Odwołanie przypisu końcowego1"/>
    <w:qFormat/>
    <w:rPr>
      <w:vertAlign w:val="superscript"/>
    </w:rPr>
  </w:style>
  <w:style w:type="character" w:styleId="Odwoanieprzypisudolnego2">
    <w:name w:val="Odwołanie przypisu dolnego2"/>
    <w:qFormat/>
    <w:rPr>
      <w:vertAlign w:val="superscript"/>
    </w:rPr>
  </w:style>
  <w:style w:type="character" w:styleId="Odwoanieprzypisukocowego2">
    <w:name w:val="Odwołanie przypisu końcowego2"/>
    <w:qFormat/>
    <w:rPr>
      <w:vertAlign w:val="superscript"/>
    </w:rPr>
  </w:style>
  <w:style w:type="character" w:styleId="Odwoanieprzypisukocowego3">
    <w:name w:val="Odwołanie przypisu końcowego3"/>
    <w:qFormat/>
    <w:rPr>
      <w:vertAlign w:val="superscript"/>
    </w:rPr>
  </w:style>
  <w:style w:type="character" w:styleId="Domylnaczcionkaakapitu7">
    <w:name w:val="Domyślna czcionka akapitu7"/>
    <w:qFormat/>
    <w:rPr/>
  </w:style>
  <w:style w:type="character" w:styleId="Odwoanieprzypisudolnego3">
    <w:name w:val="Odwołanie przypisu dolnego3"/>
    <w:basedOn w:val="Domylnaczcionkaakapitu7"/>
    <w:qFormat/>
    <w:rPr>
      <w:vertAlign w:val="superscript"/>
    </w:rPr>
  </w:style>
  <w:style w:type="character" w:styleId="TekstpodstawowyZnak">
    <w:name w:val="Tekst podstawowy Znak"/>
    <w:basedOn w:val="Domylnaczcionkaakapitu6"/>
    <w:qFormat/>
    <w:rPr>
      <w:rFonts w:ascii="Times New Roman" w:hAnsi="Times New Roman" w:eastAsia="Times New Roman" w:cs="Times New Roman"/>
      <w:sz w:val="24"/>
      <w:szCs w:val="24"/>
    </w:rPr>
  </w:style>
  <w:style w:type="character" w:styleId="TytuZnak">
    <w:name w:val="Tytuł Znak"/>
    <w:basedOn w:val="Domylnaczcionkaakapitu6"/>
    <w:qFormat/>
    <w:rPr>
      <w:rFonts w:ascii="Cambria" w:hAnsi="Cambria" w:eastAsia="Times New Roman" w:cs="Cambria"/>
      <w:b/>
      <w:bCs/>
      <w:kern w:val="2"/>
      <w:sz w:val="32"/>
      <w:szCs w:val="32"/>
    </w:rPr>
  </w:style>
  <w:style w:type="character" w:styleId="PodtytuZnak">
    <w:name w:val="Podtytuł Znak"/>
    <w:basedOn w:val="Domylnaczcionkaakapitu6"/>
    <w:qFormat/>
    <w:rPr>
      <w:rFonts w:ascii="Arial" w:hAnsi="Arial" w:eastAsia="Arial Unicode MS" w:cs="Mangal;Courier New"/>
      <w:i/>
      <w:iCs/>
      <w:sz w:val="28"/>
      <w:szCs w:val="28"/>
    </w:rPr>
  </w:style>
  <w:style w:type="character" w:styleId="Odwoanieprzypisudolnego">
    <w:name w:val="Odwołanie przypisu dolnego"/>
    <w:qFormat/>
    <w:rPr>
      <w:vertAlign w:val="superscript"/>
    </w:rPr>
  </w:style>
  <w:style w:type="character" w:styleId="Odwoanieprzypisukocowego">
    <w:name w:val="Odwołanie przypisu końcowego"/>
    <w:qFormat/>
    <w:rPr>
      <w:vertAlign w:val="superscript"/>
    </w:rPr>
  </w:style>
  <w:style w:type="character" w:styleId="TekstpodstawowyZnak1">
    <w:name w:val="Tekst podstawowy Znak1"/>
    <w:basedOn w:val="Domylnaczcionkaakapitu"/>
    <w:qFormat/>
    <w:rPr>
      <w:rFonts w:ascii="Times New Roman" w:hAnsi="Times New Roman" w:eastAsia="Times New Roman" w:cs="Times New Roman"/>
      <w:sz w:val="24"/>
      <w:szCs w:val="24"/>
    </w:rPr>
  </w:style>
  <w:style w:type="character" w:styleId="TekstdymkaZnak1">
    <w:name w:val="Tekst dymka Znak1"/>
    <w:basedOn w:val="Domylnaczcionkaakapitu"/>
    <w:qFormat/>
    <w:rPr>
      <w:rFonts w:ascii="Tahoma" w:hAnsi="Tahoma" w:eastAsia="Calibri" w:cs="Tahoma"/>
      <w:sz w:val="16"/>
      <w:szCs w:val="16"/>
    </w:rPr>
  </w:style>
  <w:style w:type="character" w:styleId="TekstprzypisudolnegoZnak1">
    <w:name w:val="Tekst przypisu dolnego Znak1"/>
    <w:basedOn w:val="Domylnaczcionkaakapitu"/>
    <w:qFormat/>
    <w:rPr>
      <w:rFonts w:ascii="Calibri" w:hAnsi="Calibri" w:eastAsia="Calibri" w:cs="Times New Roman"/>
      <w:sz w:val="20"/>
      <w:szCs w:val="20"/>
    </w:rPr>
  </w:style>
  <w:style w:type="character" w:styleId="StopkaZnak1">
    <w:name w:val="Stopka Znak1"/>
    <w:basedOn w:val="Domylnaczcionkaakapitu"/>
    <w:qFormat/>
    <w:rPr>
      <w:rFonts w:ascii="Times New Roman" w:hAnsi="Times New Roman" w:eastAsia="Times New Roman" w:cs="Times New Roman"/>
      <w:sz w:val="24"/>
      <w:szCs w:val="24"/>
    </w:rPr>
  </w:style>
  <w:style w:type="character" w:styleId="TytuZnak1">
    <w:name w:val="Tytuł Znak1"/>
    <w:basedOn w:val="Domylnaczcionkaakapitu"/>
    <w:qFormat/>
    <w:rPr>
      <w:rFonts w:ascii="Cambria" w:hAnsi="Cambria" w:eastAsia="Times New Roman" w:cs="Cambria"/>
      <w:b/>
      <w:bCs/>
      <w:kern w:val="2"/>
      <w:sz w:val="32"/>
      <w:szCs w:val="32"/>
    </w:rPr>
  </w:style>
  <w:style w:type="character" w:styleId="PodtytuZnak1">
    <w:name w:val="Podtytuł Znak1"/>
    <w:basedOn w:val="Domylnaczcionkaakapitu"/>
    <w:qFormat/>
    <w:rPr>
      <w:rFonts w:ascii="Arial" w:hAnsi="Arial" w:eastAsia="Arial Unicode MS" w:cs="Mangal;Courier New"/>
      <w:i/>
      <w:iCs/>
      <w:sz w:val="28"/>
      <w:szCs w:val="28"/>
    </w:rPr>
  </w:style>
  <w:style w:type="character" w:styleId="NagwekZnak1">
    <w:name w:val="Nagłówek Znak1"/>
    <w:basedOn w:val="Domylnaczcionkaakapitu"/>
    <w:qFormat/>
    <w:rPr>
      <w:rFonts w:ascii="Times New Roman" w:hAnsi="Times New Roman" w:eastAsia="Times New Roman" w:cs="Times New Roman"/>
      <w:sz w:val="24"/>
      <w:szCs w:val="24"/>
    </w:rPr>
  </w:style>
  <w:style w:type="character" w:styleId="TekstprzypisukocowegoZnak">
    <w:name w:val="Tekst przypisu końcowego Znak"/>
    <w:basedOn w:val="Domylnaczcionkaakapitu"/>
    <w:qFormat/>
    <w:rPr>
      <w:sz w:val="20"/>
      <w:szCs w:val="20"/>
    </w:rPr>
  </w:style>
  <w:style w:type="character" w:styleId="AkapitzlistZnak">
    <w:name w:val="Akapit z listą Znak"/>
    <w:qFormat/>
    <w:rPr/>
  </w:style>
  <w:style w:type="character" w:styleId="Czeinternetowe">
    <w:name w:val="Łącze internetowe"/>
    <w:basedOn w:val="Domylnaczcionkaakapitu"/>
    <w:rPr>
      <w:color w:val="0563C1"/>
      <w:u w:val="single"/>
    </w:rPr>
  </w:style>
  <w:style w:type="character" w:styleId="Nagwek4Znak">
    <w:name w:val="Nagłówek 4 Znak"/>
    <w:basedOn w:val="Domylnaczcionkaakapitu"/>
    <w:qFormat/>
    <w:rPr>
      <w:rFonts w:ascii="Cambria" w:hAnsi="Cambria" w:eastAsia="Times New Roman" w:cs="Times New Roman"/>
      <w:b/>
      <w:bCs/>
      <w:i/>
      <w:iCs/>
      <w:color w:val="4F81BD"/>
      <w:sz w:val="22"/>
      <w:szCs w:val="22"/>
    </w:rPr>
  </w:style>
  <w:style w:type="character" w:styleId="PrzypisdolnyZnak">
    <w:name w:val="przypis dolny Znak"/>
    <w:qFormat/>
    <w:rPr>
      <w:rFonts w:ascii="Candara" w:hAnsi="Candara" w:eastAsia="Times New Roman" w:cs="Candara"/>
      <w:sz w:val="18"/>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Normal"/>
    <w:qFormat/>
    <w:pPr>
      <w:suppressAutoHyphens w:val="true"/>
      <w:spacing w:lineRule="auto" w:line="240" w:before="240" w:after="60"/>
      <w:jc w:val="center"/>
    </w:pPr>
    <w:rPr>
      <w:rFonts w:ascii="Cambria" w:hAnsi="Cambria" w:eastAsia="Times New Roman" w:cs="Cambria"/>
      <w:b/>
      <w:bCs/>
      <w:kern w:val="2"/>
      <w:sz w:val="32"/>
      <w:szCs w:val="32"/>
    </w:rPr>
  </w:style>
  <w:style w:type="paragraph" w:styleId="Tretekstu">
    <w:name w:val="Body Text"/>
    <w:basedOn w:val="Normal"/>
    <w:pPr>
      <w:suppressAutoHyphens w:val="true"/>
      <w:spacing w:lineRule="auto" w:line="240" w:before="0" w:after="120"/>
    </w:pPr>
    <w:rPr>
      <w:rFonts w:ascii="Times New Roman" w:hAnsi="Times New Roman" w:eastAsia="Times New Roman" w:cs="Times New Roman"/>
      <w:sz w:val="24"/>
      <w:szCs w:val="24"/>
    </w:rPr>
  </w:style>
  <w:style w:type="paragraph" w:styleId="Lista">
    <w:name w:val="List"/>
    <w:basedOn w:val="Tretekstu"/>
    <w:pPr/>
    <w:rPr>
      <w:rFonts w:cs="Tahoma"/>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suppressAutoHyphens w:val="true"/>
      <w:spacing w:lineRule="auto" w:line="240" w:before="0" w:after="0"/>
    </w:pPr>
    <w:rPr>
      <w:rFonts w:ascii="Times New Roman" w:hAnsi="Times New Roman" w:eastAsia="Times New Roman" w:cs="Tahoma"/>
      <w:sz w:val="24"/>
      <w:szCs w:val="24"/>
    </w:rPr>
  </w:style>
  <w:style w:type="paragraph" w:styleId="Nagwek3">
    <w:name w:val="Nagłówek3"/>
    <w:basedOn w:val="Normal"/>
    <w:next w:val="Tretekstu"/>
    <w:qFormat/>
    <w:pPr>
      <w:keepNext w:val="true"/>
      <w:suppressAutoHyphens w:val="true"/>
      <w:spacing w:lineRule="auto" w:line="240" w:before="240" w:after="120"/>
    </w:pPr>
    <w:rPr>
      <w:rFonts w:ascii="Arial" w:hAnsi="Arial" w:eastAsia="Microsoft YaHei" w:cs="Mangal;Courier New"/>
      <w:sz w:val="28"/>
      <w:szCs w:val="28"/>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Gwka">
    <w:name w:val="Header"/>
    <w:basedOn w:val="Normal"/>
    <w:pPr>
      <w:spacing w:lineRule="auto" w:line="240" w:before="0" w:after="0"/>
    </w:pPr>
    <w:rPr/>
  </w:style>
  <w:style w:type="paragraph" w:styleId="Stopka">
    <w:name w:val="Footer"/>
    <w:basedOn w:val="Normal"/>
    <w:pPr>
      <w:spacing w:lineRule="auto" w:line="240" w:before="0" w:after="0"/>
    </w:pPr>
    <w:rPr/>
  </w:style>
  <w:style w:type="paragraph" w:styleId="Akapitzlist1">
    <w:name w:val="Akapit z listą1"/>
    <w:qFormat/>
    <w:pPr>
      <w:widowControl/>
      <w:bidi w:val="0"/>
      <w:ind w:left="720" w:hanging="0"/>
    </w:pPr>
    <w:rPr>
      <w:rFonts w:ascii="Times New Roman" w:hAnsi="Times New Roman" w:eastAsia="ヒラギノ角ゴ Pro W3" w:cs="Times New Roman"/>
      <w:color w:val="000000"/>
      <w:sz w:val="24"/>
      <w:szCs w:val="20"/>
      <w:lang w:val="pl-PL" w:bidi="ar-SA" w:eastAsia="zh-CN"/>
    </w:rPr>
  </w:style>
  <w:style w:type="paragraph" w:styleId="Normalny1">
    <w:name w:val="Normalny1"/>
    <w:qFormat/>
    <w:pPr>
      <w:widowControl/>
      <w:bidi w:val="0"/>
    </w:pPr>
    <w:rPr>
      <w:rFonts w:ascii="Times New Roman" w:hAnsi="Times New Roman" w:eastAsia="ヒラギノ角ゴ Pro W3" w:cs="Times New Roman"/>
      <w:color w:val="000000"/>
      <w:sz w:val="24"/>
      <w:szCs w:val="20"/>
      <w:lang w:val="pl-PL" w:bidi="ar-SA" w:eastAsia="zh-CN"/>
    </w:rPr>
  </w:style>
  <w:style w:type="paragraph" w:styleId="Nagwek21">
    <w:name w:val="Nagłówek 21"/>
    <w:next w:val="Czgwna"/>
    <w:qFormat/>
    <w:pPr>
      <w:keepNext w:val="true"/>
      <w:widowControl/>
      <w:bidi w:val="0"/>
      <w:outlineLvl w:val="1"/>
    </w:pPr>
    <w:rPr>
      <w:rFonts w:ascii="Helvetica" w:hAnsi="Helvetica" w:eastAsia="ヒラギノ角ゴ Pro W3" w:cs="Helvetica"/>
      <w:b/>
      <w:color w:val="000000"/>
      <w:sz w:val="24"/>
      <w:szCs w:val="20"/>
      <w:lang w:val="pl-PL" w:bidi="ar-SA" w:eastAsia="zh-CN"/>
    </w:rPr>
  </w:style>
  <w:style w:type="paragraph" w:styleId="Czgwna">
    <w:name w:val="Część główna"/>
    <w:qFormat/>
    <w:pPr>
      <w:widowControl/>
      <w:bidi w:val="0"/>
    </w:pPr>
    <w:rPr>
      <w:rFonts w:ascii="Helvetica" w:hAnsi="Helvetica" w:eastAsia="ヒラギノ角ゴ Pro W3" w:cs="Helvetica"/>
      <w:color w:val="000000"/>
      <w:sz w:val="24"/>
      <w:szCs w:val="20"/>
      <w:lang w:val="pl-PL" w:bidi="ar-SA" w:eastAsia="zh-CN"/>
    </w:rPr>
  </w:style>
  <w:style w:type="paragraph" w:styleId="CzgwnaA">
    <w:name w:val="Część główna A"/>
    <w:qFormat/>
    <w:pPr>
      <w:widowControl/>
      <w:bidi w:val="0"/>
    </w:pPr>
    <w:rPr>
      <w:rFonts w:ascii="Helvetica" w:hAnsi="Helvetica" w:eastAsia="ヒラギノ角ゴ Pro W3" w:cs="Helvetica"/>
      <w:color w:val="000000"/>
      <w:sz w:val="24"/>
      <w:szCs w:val="20"/>
      <w:lang w:val="pl-PL" w:bidi="ar-SA" w:eastAsia="zh-CN"/>
    </w:rPr>
  </w:style>
  <w:style w:type="paragraph" w:styleId="Akapitzlist">
    <w:name w:val="Akapit z listą"/>
    <w:basedOn w:val="Normal"/>
    <w:qFormat/>
    <w:pPr>
      <w:spacing w:before="0" w:after="160"/>
      <w:ind w:left="720" w:hanging="0"/>
      <w:contextualSpacing/>
    </w:pPr>
    <w:rPr/>
  </w:style>
  <w:style w:type="paragraph" w:styleId="Nagwek5">
    <w:name w:val="Nagłówek5"/>
    <w:basedOn w:val="Normal"/>
    <w:next w:val="Tretekstu"/>
    <w:qFormat/>
    <w:pPr>
      <w:keepNext w:val="true"/>
      <w:suppressAutoHyphens w:val="true"/>
      <w:spacing w:lineRule="auto" w:line="276" w:before="240" w:after="120"/>
    </w:pPr>
    <w:rPr>
      <w:rFonts w:ascii="Arial" w:hAnsi="Arial" w:eastAsia="Microsoft YaHei" w:cs="Mangal;Courier New"/>
      <w:sz w:val="28"/>
      <w:szCs w:val="28"/>
    </w:rPr>
  </w:style>
  <w:style w:type="paragraph" w:styleId="Podpis5">
    <w:name w:val="Podpis5"/>
    <w:basedOn w:val="Normal"/>
    <w:qFormat/>
    <w:pPr>
      <w:suppressLineNumbers/>
      <w:suppressAutoHyphens w:val="true"/>
      <w:spacing w:lineRule="auto" w:line="276" w:before="120" w:after="120"/>
    </w:pPr>
    <w:rPr>
      <w:rFonts w:cs="Mangal;Courier New"/>
      <w:i/>
      <w:iCs/>
      <w:sz w:val="24"/>
      <w:szCs w:val="24"/>
    </w:rPr>
  </w:style>
  <w:style w:type="paragraph" w:styleId="Tekstdymka">
    <w:name w:val="Tekst dymka"/>
    <w:basedOn w:val="Normal"/>
    <w:qFormat/>
    <w:pPr>
      <w:suppressAutoHyphens w:val="true"/>
      <w:spacing w:lineRule="auto" w:line="240" w:before="0" w:after="0"/>
    </w:pPr>
    <w:rPr>
      <w:rFonts w:ascii="Tahoma" w:hAnsi="Tahoma" w:cs="Tahoma"/>
      <w:sz w:val="16"/>
      <w:szCs w:val="16"/>
    </w:rPr>
  </w:style>
  <w:style w:type="paragraph" w:styleId="Zawartotabeli">
    <w:name w:val="Zawartość tabeli"/>
    <w:basedOn w:val="Normal"/>
    <w:qFormat/>
    <w:pPr>
      <w:suppressLineNumbers/>
      <w:suppressAutoHyphens w:val="true"/>
      <w:spacing w:lineRule="auto" w:line="240" w:before="0" w:after="0"/>
    </w:pPr>
    <w:rPr>
      <w:rFonts w:ascii="Times New Roman" w:hAnsi="Times New Roman" w:eastAsia="Times New Roman" w:cs="Times New Roman"/>
      <w:sz w:val="24"/>
      <w:szCs w:val="24"/>
    </w:rPr>
  </w:style>
  <w:style w:type="paragraph" w:styleId="Przypisdolny">
    <w:name w:val="Footnote Text"/>
    <w:basedOn w:val="Normal"/>
    <w:pPr>
      <w:suppressAutoHyphens w:val="true"/>
      <w:spacing w:lineRule="auto" w:line="240" w:before="0" w:after="0"/>
    </w:pPr>
    <w:rPr>
      <w:sz w:val="20"/>
      <w:szCs w:val="20"/>
    </w:rPr>
  </w:style>
  <w:style w:type="paragraph" w:styleId="Nagwek41">
    <w:name w:val="Nagłówek4"/>
    <w:basedOn w:val="Normal"/>
    <w:next w:val="Tretekstu"/>
    <w:qFormat/>
    <w:pPr>
      <w:keepNext w:val="true"/>
      <w:suppressAutoHyphens w:val="true"/>
      <w:spacing w:lineRule="auto" w:line="240" w:before="240" w:after="120"/>
    </w:pPr>
    <w:rPr>
      <w:rFonts w:ascii="Arial" w:hAnsi="Arial" w:eastAsia="Microsoft YaHei" w:cs="Mangal;Courier New"/>
      <w:sz w:val="28"/>
      <w:szCs w:val="28"/>
    </w:rPr>
  </w:style>
  <w:style w:type="paragraph" w:styleId="Podpis4">
    <w:name w:val="Podpis4"/>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Podpis3">
    <w:name w:val="Podpis3"/>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Nagwek22">
    <w:name w:val="Nagłówek2"/>
    <w:basedOn w:val="Normal"/>
    <w:next w:val="Tretekstu"/>
    <w:qFormat/>
    <w:pPr>
      <w:keepNext w:val="true"/>
      <w:suppressAutoHyphens w:val="true"/>
      <w:spacing w:lineRule="auto" w:line="240" w:before="240" w:after="120"/>
    </w:pPr>
    <w:rPr>
      <w:rFonts w:ascii="Arial" w:hAnsi="Arial" w:eastAsia="Arial Unicode MS" w:cs="Mangal;Courier New"/>
      <w:sz w:val="28"/>
      <w:szCs w:val="28"/>
    </w:rPr>
  </w:style>
  <w:style w:type="paragraph" w:styleId="Podpis2">
    <w:name w:val="Podpis2"/>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Heading">
    <w:name w:val="Heading"/>
    <w:basedOn w:val="Normal"/>
    <w:next w:val="Tretekstu"/>
    <w:qFormat/>
    <w:pPr>
      <w:keepNext w:val="true"/>
      <w:suppressAutoHyphens w:val="true"/>
      <w:spacing w:lineRule="auto" w:line="240" w:before="240" w:after="120"/>
    </w:pPr>
    <w:rPr>
      <w:rFonts w:ascii="Arial" w:hAnsi="Arial" w:eastAsia="Arial Unicode MS" w:cs="Mangal;Courier New"/>
      <w:sz w:val="28"/>
      <w:szCs w:val="28"/>
    </w:rPr>
  </w:style>
  <w:style w:type="paragraph" w:styleId="Legenda1">
    <w:name w:val="Legenda1"/>
    <w:basedOn w:val="Normal"/>
    <w:qFormat/>
    <w:pPr>
      <w:suppressLineNumbers/>
      <w:suppressAutoHyphens w:val="true"/>
      <w:spacing w:lineRule="auto" w:line="240" w:before="120" w:after="120"/>
    </w:pPr>
    <w:rPr>
      <w:rFonts w:ascii="Times New Roman" w:hAnsi="Times New Roman" w:eastAsia="Times New Roman" w:cs="Mangal;Courier New"/>
      <w:i/>
      <w:iCs/>
      <w:sz w:val="24"/>
      <w:szCs w:val="24"/>
    </w:rPr>
  </w:style>
  <w:style w:type="paragraph" w:styleId="Index">
    <w:name w:val="Index"/>
    <w:basedOn w:val="Normal"/>
    <w:qFormat/>
    <w:pPr>
      <w:suppressLineNumbers/>
      <w:suppressAutoHyphens w:val="true"/>
      <w:spacing w:lineRule="auto" w:line="240" w:before="0" w:after="0"/>
    </w:pPr>
    <w:rPr>
      <w:rFonts w:ascii="Times New Roman" w:hAnsi="Times New Roman" w:eastAsia="Times New Roman" w:cs="Mangal;Courier New"/>
      <w:sz w:val="24"/>
      <w:szCs w:val="24"/>
    </w:rPr>
  </w:style>
  <w:style w:type="paragraph" w:styleId="Nagwek11">
    <w:name w:val="Nagłówek1"/>
    <w:basedOn w:val="Normal"/>
    <w:next w:val="Tretekstu"/>
    <w:qFormat/>
    <w:pPr>
      <w:keepNext w:val="true"/>
      <w:suppressAutoHyphens w:val="true"/>
      <w:spacing w:lineRule="auto" w:line="240" w:before="240" w:after="120"/>
    </w:pPr>
    <w:rPr>
      <w:rFonts w:ascii="Arial" w:hAnsi="Arial" w:eastAsia="Lucida Sans Unicode" w:cs="Tahoma"/>
      <w:sz w:val="28"/>
      <w:szCs w:val="28"/>
    </w:rPr>
  </w:style>
  <w:style w:type="paragraph" w:styleId="Podpis1">
    <w:name w:val="Podpis1"/>
    <w:basedOn w:val="Normal"/>
    <w:qFormat/>
    <w:pPr>
      <w:suppressLineNumbers/>
      <w:suppressAutoHyphens w:val="true"/>
      <w:spacing w:lineRule="auto" w:line="240" w:before="120" w:after="120"/>
    </w:pPr>
    <w:rPr>
      <w:rFonts w:ascii="Times New Roman" w:hAnsi="Times New Roman" w:eastAsia="Times New Roman" w:cs="Tahoma"/>
      <w:i/>
      <w:iCs/>
      <w:sz w:val="24"/>
      <w:szCs w:val="24"/>
    </w:rPr>
  </w:style>
  <w:style w:type="paragraph" w:styleId="Podtytu">
    <w:name w:val="Subtitle"/>
    <w:basedOn w:val="Nagwek22"/>
    <w:next w:val="Tretekstu"/>
    <w:qFormat/>
    <w:pPr>
      <w:jc w:val="center"/>
    </w:pPr>
    <w:rPr>
      <w:i/>
      <w:iCs/>
    </w:rPr>
  </w:style>
  <w:style w:type="paragraph" w:styleId="Nagwektabeli">
    <w:name w:val="Nagłówek tabeli"/>
    <w:basedOn w:val="Zawartotabeli"/>
    <w:qFormat/>
    <w:pPr>
      <w:jc w:val="center"/>
    </w:pPr>
    <w:rPr>
      <w:b/>
      <w:bCs/>
    </w:rPr>
  </w:style>
  <w:style w:type="paragraph" w:styleId="Zawartoramki">
    <w:name w:val="Zawartość ramki"/>
    <w:basedOn w:val="Tretekstu"/>
    <w:qFormat/>
    <w:pPr/>
    <w:rPr/>
  </w:style>
  <w:style w:type="paragraph" w:styleId="NormalnyWeb">
    <w:name w:val="Normalny (Web)"/>
    <w:basedOn w:val="Normal"/>
    <w:qFormat/>
    <w:pPr>
      <w:suppressAutoHyphens w:val="true"/>
      <w:spacing w:lineRule="auto" w:line="240" w:before="0" w:after="0"/>
    </w:pPr>
    <w:rPr>
      <w:rFonts w:ascii="Times New Roman" w:hAnsi="Times New Roman" w:eastAsia="Times New Roman" w:cs="Times New Roman"/>
      <w:sz w:val="24"/>
      <w:szCs w:val="24"/>
    </w:rPr>
  </w:style>
  <w:style w:type="paragraph" w:styleId="Tekstprzypisudolnego1">
    <w:name w:val="Tekst przypisu dolnego1"/>
    <w:basedOn w:val="Normal"/>
    <w:qFormat/>
    <w:pPr>
      <w:suppressAutoHyphens w:val="true"/>
      <w:spacing w:lineRule="atLeast" w:line="100" w:before="0" w:after="0"/>
    </w:pPr>
    <w:rPr>
      <w:rFonts w:ascii="Times New Roman" w:hAnsi="Times New Roman" w:eastAsia="Times New Roman" w:cs="Times New Roman"/>
      <w:sz w:val="20"/>
      <w:szCs w:val="20"/>
    </w:rPr>
  </w:style>
  <w:style w:type="paragraph" w:styleId="Przypiskocowy">
    <w:name w:val="Endnote Text"/>
    <w:basedOn w:val="Normal"/>
    <w:pPr>
      <w:spacing w:lineRule="auto" w:line="240" w:before="0" w:after="0"/>
    </w:pPr>
    <w:rPr>
      <w:sz w:val="20"/>
      <w:szCs w:val="20"/>
    </w:rPr>
  </w:style>
  <w:style w:type="paragraph" w:styleId="BezformatowaniaA">
    <w:name w:val="Bez formatowania A"/>
    <w:qFormat/>
    <w:pPr>
      <w:widowControl/>
      <w:bidi w:val="0"/>
    </w:pPr>
    <w:rPr>
      <w:rFonts w:ascii="Times New Roman" w:hAnsi="Times New Roman" w:eastAsia="ヒラギノ角ゴ Pro W3" w:cs="Times New Roman"/>
      <w:color w:val="000000"/>
      <w:sz w:val="20"/>
      <w:szCs w:val="20"/>
      <w:lang w:val="pl-PL" w:bidi="ar-SA" w:eastAsia="zh-CN"/>
    </w:rPr>
  </w:style>
  <w:style w:type="paragraph" w:styleId="BezformatowaniaAA">
    <w:name w:val="Bez formatowania A A"/>
    <w:qFormat/>
    <w:pPr>
      <w:widowControl/>
      <w:tabs>
        <w:tab w:val="clear" w:pos="708"/>
        <w:tab w:val="left" w:pos="720" w:leader="none"/>
      </w:tabs>
      <w:bidi w:val="0"/>
      <w:spacing w:before="60" w:after="0"/>
      <w:jc w:val="both"/>
    </w:pPr>
    <w:rPr>
      <w:rFonts w:ascii="Arial" w:hAnsi="Arial" w:eastAsia="ヒラギノ角ゴ Pro W3" w:cs="Arial"/>
      <w:color w:val="000000"/>
      <w:sz w:val="22"/>
      <w:szCs w:val="20"/>
      <w:lang w:val="pl-PL" w:bidi="ar-SA" w:eastAsia="zh-CN"/>
    </w:rPr>
  </w:style>
  <w:style w:type="paragraph" w:styleId="Nagwek2A">
    <w:name w:val="Nagłówek 2 A"/>
    <w:next w:val="CzgwnaA"/>
    <w:qFormat/>
    <w:pPr>
      <w:keepNext w:val="true"/>
      <w:widowControl/>
      <w:bidi w:val="0"/>
      <w:outlineLvl w:val="1"/>
    </w:pPr>
    <w:rPr>
      <w:rFonts w:ascii="Helvetica" w:hAnsi="Helvetica" w:eastAsia="ヒラギノ角ゴ Pro W3" w:cs="Helvetica"/>
      <w:b/>
      <w:color w:val="000000"/>
      <w:sz w:val="24"/>
      <w:szCs w:val="20"/>
      <w:lang w:val="pl-PL" w:bidi="ar-SA" w:eastAsia="zh-CN"/>
    </w:rPr>
  </w:style>
  <w:style w:type="paragraph" w:styleId="Bezformatowania">
    <w:name w:val="Bez formatowania"/>
    <w:qFormat/>
    <w:pPr>
      <w:widowControl/>
      <w:bidi w:val="0"/>
    </w:pPr>
    <w:rPr>
      <w:rFonts w:ascii="Times New Roman" w:hAnsi="Times New Roman" w:eastAsia="ヒラギノ角ゴ Pro W3" w:cs="Times New Roman"/>
      <w:color w:val="000000"/>
      <w:sz w:val="20"/>
      <w:szCs w:val="20"/>
      <w:lang w:val="pl-PL" w:bidi="ar-SA" w:eastAsia="zh-CN"/>
    </w:rPr>
  </w:style>
  <w:style w:type="paragraph" w:styleId="BezformatowaniaB">
    <w:name w:val="Bez formatowania B"/>
    <w:qFormat/>
    <w:pPr>
      <w:widowControl/>
      <w:bidi w:val="0"/>
    </w:pPr>
    <w:rPr>
      <w:rFonts w:ascii="Times New Roman" w:hAnsi="Times New Roman" w:eastAsia="ヒラギノ角ゴ Pro W3" w:cs="Times New Roman"/>
      <w:color w:val="000000"/>
      <w:sz w:val="20"/>
      <w:szCs w:val="20"/>
      <w:lang w:val="pl-PL" w:bidi="ar-SA" w:eastAsia="zh-CN"/>
    </w:rPr>
  </w:style>
  <w:style w:type="paragraph" w:styleId="Nagwek2AA">
    <w:name w:val="Nagłówek 2 A A"/>
    <w:next w:val="CzgwnaAA"/>
    <w:qFormat/>
    <w:pPr>
      <w:keepNext w:val="true"/>
      <w:widowControl/>
      <w:bidi w:val="0"/>
      <w:outlineLvl w:val="1"/>
    </w:pPr>
    <w:rPr>
      <w:rFonts w:ascii="Helvetica" w:hAnsi="Helvetica" w:eastAsia="ヒラギノ角ゴ Pro W3" w:cs="Helvetica"/>
      <w:b/>
      <w:color w:val="000000"/>
      <w:sz w:val="24"/>
      <w:szCs w:val="20"/>
      <w:lang w:val="pl-PL" w:bidi="ar-SA" w:eastAsia="zh-CN"/>
    </w:rPr>
  </w:style>
  <w:style w:type="paragraph" w:styleId="CzgwnaAA">
    <w:name w:val="Część główna A A"/>
    <w:qFormat/>
    <w:pPr>
      <w:widowControl/>
      <w:bidi w:val="0"/>
    </w:pPr>
    <w:rPr>
      <w:rFonts w:ascii="Helvetica" w:hAnsi="Helvetica" w:eastAsia="ヒラギノ角ゴ Pro W3" w:cs="Helvetica"/>
      <w:color w:val="000000"/>
      <w:sz w:val="24"/>
      <w:szCs w:val="20"/>
      <w:lang w:val="pl-PL" w:bidi="ar-SA" w:eastAsia="zh-CN"/>
    </w:rPr>
  </w:style>
  <w:style w:type="paragraph" w:styleId="Bezodstpw">
    <w:name w:val="Bez odstępów"/>
    <w:basedOn w:val="Normal"/>
    <w:qFormat/>
    <w:pPr>
      <w:spacing w:lineRule="auto" w:line="240" w:before="0" w:after="0"/>
    </w:pPr>
    <w:rPr/>
  </w:style>
  <w:style w:type="paragraph" w:styleId="Standard">
    <w:name w:val="Standard"/>
    <w:qFormat/>
    <w:pPr>
      <w:widowControl/>
      <w:suppressAutoHyphens w:val="true"/>
      <w:overflowPunct w:val="false"/>
      <w:autoSpaceDE w:val="false"/>
      <w:bidi w:val="0"/>
      <w:spacing w:lineRule="auto" w:line="276"/>
      <w:textAlignment w:val="baseline"/>
    </w:pPr>
    <w:rPr>
      <w:rFonts w:ascii="Arial" w:hAnsi="Arial" w:eastAsia="Arial" w:cs="Arial"/>
      <w:color w:val="000000"/>
      <w:kern w:val="2"/>
      <w:sz w:val="22"/>
      <w:szCs w:val="22"/>
      <w:lang w:val="pl-PL" w:bidi="ar-SA" w:eastAsia="zh-CN"/>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pl-PL" w:bidi="ar-SA" w:eastAsia="zh-CN"/>
    </w:rPr>
  </w:style>
  <w:style w:type="paragraph" w:styleId="Nagwekindeksu">
    <w:name w:val="Index Heading"/>
    <w:basedOn w:val="Nagwek"/>
    <w:pPr>
      <w:suppressLineNumbers/>
      <w:ind w:left="0" w:hanging="0"/>
    </w:pPr>
    <w:rPr>
      <w:b/>
      <w:bCs/>
      <w:sz w:val="32"/>
      <w:szCs w:val="32"/>
    </w:rPr>
  </w:style>
  <w:style w:type="paragraph" w:styleId="Nagwekspisutreci">
    <w:name w:val="TOA Heading"/>
    <w:basedOn w:val="Nagwek1"/>
    <w:next w:val="Normal"/>
    <w:pPr>
      <w:keepLines/>
      <w:numPr>
        <w:ilvl w:val="0"/>
        <w:numId w:val="0"/>
      </w:numPr>
      <w:suppressAutoHyphens w:val="false"/>
      <w:spacing w:lineRule="auto" w:line="276" w:before="480" w:after="0"/>
      <w:outlineLvl w:val="9"/>
    </w:pPr>
    <w:rPr>
      <w:rFonts w:ascii="Calibri Light" w:hAnsi="Calibri Light" w:cs="Times New Roman"/>
      <w:color w:val="2E74B5"/>
      <w:kern w:val="0"/>
      <w:sz w:val="28"/>
      <w:szCs w:val="28"/>
    </w:rPr>
  </w:style>
  <w:style w:type="paragraph" w:styleId="Spistreci1">
    <w:name w:val="TOC 1"/>
    <w:basedOn w:val="Normal"/>
    <w:next w:val="Normal"/>
    <w:pPr>
      <w:numPr>
        <w:ilvl w:val="0"/>
        <w:numId w:val="9"/>
      </w:numPr>
      <w:spacing w:before="0" w:after="100"/>
    </w:pPr>
    <w:rPr>
      <w:bCs/>
    </w:rPr>
  </w:style>
  <w:style w:type="paragraph" w:styleId="Spistreci2">
    <w:name w:val="TOC 2"/>
    <w:basedOn w:val="Normal"/>
    <w:next w:val="Normal"/>
    <w:pPr>
      <w:spacing w:before="0" w:after="100"/>
      <w:ind w:left="220" w:hanging="0"/>
    </w:pPr>
    <w:rPr/>
  </w:style>
  <w:style w:type="paragraph" w:styleId="Spistreci3">
    <w:name w:val="TOC 3"/>
    <w:basedOn w:val="Normal"/>
    <w:next w:val="Normal"/>
    <w:pPr>
      <w:spacing w:lineRule="auto" w:line="276" w:before="0" w:after="100"/>
      <w:ind w:left="440" w:hanging="0"/>
    </w:pPr>
    <w:rPr>
      <w:rFonts w:eastAsia="Times New Roman"/>
    </w:rPr>
  </w:style>
  <w:style w:type="paragraph" w:styleId="Przypisdolny1">
    <w:name w:val="przypis dolny"/>
    <w:basedOn w:val="Przypisdolny"/>
    <w:qFormat/>
    <w:pPr>
      <w:suppressAutoHyphens w:val="false"/>
      <w:spacing w:before="120" w:after="0"/>
      <w:jc w:val="both"/>
    </w:pPr>
    <w:rPr>
      <w:rFonts w:ascii="Candara" w:hAnsi="Candara" w:eastAsia="Times New Roman" w:cs="Candara"/>
      <w:sz w:val="18"/>
      <w:lang w:val="pl-P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chart" Target="charts/chart1.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chart" Target="charts/chart2.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20" Type="http://schemas.openxmlformats.org/officeDocument/2006/relationships/footer" Target="footer6.xml"/><Relationship Id="rId21" Type="http://schemas.openxmlformats.org/officeDocument/2006/relationships/header" Target="header5.xml"/><Relationship Id="rId22" Type="http://schemas.openxmlformats.org/officeDocument/2006/relationships/footer" Target="footer7.xml"/><Relationship Id="rId23" Type="http://schemas.openxmlformats.org/officeDocument/2006/relationships/header" Target="header6.xml"/><Relationship Id="rId24" Type="http://schemas.openxmlformats.org/officeDocument/2006/relationships/footer" Target="footer8.xml"/><Relationship Id="rId25" Type="http://schemas.openxmlformats.org/officeDocument/2006/relationships/header" Target="header7.xml"/><Relationship Id="rId26" Type="http://schemas.openxmlformats.org/officeDocument/2006/relationships/footer" Target="footer9.xml"/><Relationship Id="rId27" Type="http://schemas.openxmlformats.org/officeDocument/2006/relationships/header" Target="header8.xml"/><Relationship Id="rId28" Type="http://schemas.openxmlformats.org/officeDocument/2006/relationships/footer" Target="footer10.xml"/><Relationship Id="rId29" Type="http://schemas.openxmlformats.org/officeDocument/2006/relationships/footnotes" Target="footnote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8.png"/>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801363495506663"/>
          <c:y val="0.095396859539686"/>
          <c:w val="0.525813449023861"/>
          <c:h val="0.813830931383093"/>
        </c:manualLayout>
      </c:layout>
      <c:pieChart>
        <c:varyColors val="1"/>
        <c:ser>
          <c:idx val="0"/>
          <c:order val="0"/>
          <c:tx>
            <c:strRef>
              <c:f>label 0</c:f>
              <c:strCache>
                <c:ptCount val="1"/>
                <c:pt idx="0">
                  <c:v>%</c:v>
                </c:pt>
              </c:strCache>
            </c:strRef>
          </c:tx>
          <c:spPr>
            <a:solidFill>
              <a:srgbClr val="9bbb59"/>
            </a:solidFill>
            <a:ln w="0">
              <a:solidFill>
                <a:srgbClr val="808080"/>
              </a:solidFill>
            </a:ln>
          </c:spPr>
          <c:explosion val="0"/>
          <c:dPt>
            <c:idx val="0"/>
            <c:spPr>
              <a:solidFill>
                <a:srgbClr val="c00000"/>
              </a:solidFill>
              <a:ln w="0">
                <a:solidFill>
                  <a:srgbClr val="808080"/>
                </a:solidFill>
              </a:ln>
            </c:spPr>
          </c:dPt>
          <c:dPt>
            <c:idx val="1"/>
            <c:spPr>
              <a:solidFill>
                <a:srgbClr val="ff0000"/>
              </a:solidFill>
              <a:ln w="0">
                <a:solidFill>
                  <a:srgbClr val="808080"/>
                </a:solidFill>
              </a:ln>
            </c:spPr>
          </c:dPt>
          <c:dPt>
            <c:idx val="2"/>
            <c:spPr>
              <a:solidFill>
                <a:srgbClr val="ff9933"/>
              </a:solidFill>
              <a:ln w="0">
                <a:solidFill>
                  <a:srgbClr val="808080"/>
                </a:solidFill>
              </a:ln>
            </c:spPr>
          </c:dPt>
          <c:dPt>
            <c:idx val="3"/>
            <c:spPr>
              <a:solidFill>
                <a:srgbClr val="cccc00"/>
              </a:solidFill>
              <a:ln w="0">
                <a:solidFill>
                  <a:srgbClr val="808080"/>
                </a:solidFill>
              </a:ln>
            </c:spPr>
          </c:dPt>
          <c:dPt>
            <c:idx val="4"/>
            <c:spPr>
              <a:solidFill>
                <a:srgbClr val="33cc33"/>
              </a:solidFill>
              <a:ln w="0">
                <a:solidFill>
                  <a:srgbClr val="808080"/>
                </a:solidFill>
              </a:ln>
            </c:spPr>
          </c:dPt>
          <c:dPt>
            <c:idx val="5"/>
            <c:spPr>
              <a:solidFill>
                <a:srgbClr val="008000"/>
              </a:solidFill>
              <a:ln w="0">
                <a:solidFill>
                  <a:srgbClr val="808080"/>
                </a:solidFill>
              </a:ln>
            </c:spPr>
          </c:dPt>
          <c:dLbls>
            <c:numFmt formatCode="0%" sourceLinked="0"/>
            <c:dLbl>
              <c:idx val="0"/>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1"/>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2"/>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3"/>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4"/>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dLbl>
              <c:idx val="5"/>
              <c:numFmt formatCode="0%" sourceLinked="0"/>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dLbl>
            <c:txPr>
              <a:bodyPr wrap="none"/>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1"/>
          </c:dLbls>
          <c:cat>
            <c:strRef>
              <c:f>categories</c:f>
              <c:strCache>
                <c:ptCount val="6"/>
                <c:pt idx="0">
                  <c:v>1 - jestem bardzo niezadowolony</c:v>
                </c:pt>
                <c:pt idx="1">
                  <c:v>2</c:v>
                </c:pt>
                <c:pt idx="2">
                  <c:v>3</c:v>
                </c:pt>
                <c:pt idx="3">
                  <c:v>4</c:v>
                </c:pt>
                <c:pt idx="4">
                  <c:v>5</c:v>
                </c:pt>
                <c:pt idx="5">
                  <c:v>6 - jestem bardzo zadowolony</c:v>
                </c:pt>
              </c:strCache>
            </c:strRef>
          </c:cat>
          <c:val>
            <c:numRef>
              <c:f>0</c:f>
              <c:numCache>
                <c:formatCode>General</c:formatCode>
                <c:ptCount val="6"/>
                <c:pt idx="0">
                  <c:v>0.0254237288135593</c:v>
                </c:pt>
                <c:pt idx="1">
                  <c:v>0.0508474576271186</c:v>
                </c:pt>
                <c:pt idx="2">
                  <c:v>0.0932203389830509</c:v>
                </c:pt>
                <c:pt idx="3">
                  <c:v>0.313559322033898</c:v>
                </c:pt>
                <c:pt idx="4">
                  <c:v>0.338983050847458</c:v>
                </c:pt>
                <c:pt idx="5">
                  <c:v>0.177966101694915</c:v>
                </c:pt>
              </c:numCache>
            </c:numRef>
          </c:val>
        </c:ser>
        <c:firstSliceAng val="0"/>
      </c:pieChart>
      <c:spPr>
        <a:noFill/>
        <a:ln w="12600">
          <a:noFill/>
        </a:ln>
      </c:spPr>
    </c:plotArea>
    <c:legend>
      <c:legendPos val="r"/>
      <c:layout>
        <c:manualLayout>
          <c:xMode val="edge"/>
          <c:yMode val="edge"/>
          <c:x val="0.671211651688875"/>
          <c:y val="0.349107334910733"/>
        </c:manualLayout>
      </c:layout>
      <c:overlay val="0"/>
      <c:spPr>
        <a:noFill/>
        <a:ln w="0">
          <a:noFill/>
        </a:ln>
      </c:spPr>
      <c:txPr>
        <a:bodyPr/>
        <a:lstStyle/>
        <a:p>
          <a:pPr>
            <a:defRPr b="0" sz="900" spc="-1" strike="noStrike">
              <a:solidFill>
                <a:srgbClr val="000000"/>
              </a:solidFill>
              <a:latin typeface="Arial"/>
            </a:defRPr>
          </a:pPr>
        </a:p>
      </c:txPr>
    </c:legend>
    <c:plotVisOnly val="1"/>
    <c:dispBlanksAs val="gap"/>
  </c:chart>
  <c:spPr>
    <a:solidFill>
      <a:srgbClr val="ffffff"/>
    </a:solid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79417122040073"/>
          <c:y val="0.0349454649827784"/>
          <c:w val="0.805928133796986"/>
          <c:h val="0.911093570608496"/>
        </c:manualLayout>
      </c:layout>
      <c:barChart>
        <c:barDir val="bar"/>
        <c:grouping val="percentStacked"/>
        <c:varyColors val="0"/>
        <c:ser>
          <c:idx val="0"/>
          <c:order val="0"/>
          <c:tx>
            <c:strRef>
              <c:f>label 0</c:f>
              <c:strCache>
                <c:ptCount val="1"/>
                <c:pt idx="0">
                  <c:v>%</c:v>
                </c:pt>
              </c:strCache>
            </c:strRef>
          </c:tx>
          <c:spPr>
            <a:solidFill>
              <a:srgbClr val="c00000"/>
            </a:solidFill>
            <a:ln w="0">
              <a:solidFill>
                <a:srgbClr val="808080"/>
              </a:solidFill>
            </a:ln>
          </c:spPr>
          <c:invertIfNegative val="0"/>
          <c:dLbls>
            <c:numFmt formatCode="0%" sourceLinked="0"/>
            <c:txPr>
              <a:bodyPr wrap="none"/>
              <a:lstStyle/>
              <a:p>
                <a:pPr>
                  <a:defRPr b="0" sz="800" spc="-1" strike="noStrike">
                    <a:solidFill>
                      <a:srgbClr val="ffffff"/>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0</c:f>
              <c:numCache>
                <c:formatCode>General</c:formatCode>
                <c:ptCount val="13"/>
                <c:pt idx="0">
                  <c:v>0.0387596899224806</c:v>
                </c:pt>
                <c:pt idx="1">
                  <c:v>0.305343511450382</c:v>
                </c:pt>
                <c:pt idx="2">
                  <c:v>0.0866141732283464</c:v>
                </c:pt>
                <c:pt idx="3">
                  <c:v>0.0149253731343284</c:v>
                </c:pt>
                <c:pt idx="4">
                  <c:v>0.0458015267175573</c:v>
                </c:pt>
                <c:pt idx="5">
                  <c:v>0.0307692307692308</c:v>
                </c:pt>
                <c:pt idx="6">
                  <c:v>0.18796992481203</c:v>
                </c:pt>
                <c:pt idx="7">
                  <c:v>0.116279069767442</c:v>
                </c:pt>
                <c:pt idx="8">
                  <c:v>0.136363636363636</c:v>
                </c:pt>
                <c:pt idx="9">
                  <c:v>0.31578947368421</c:v>
                </c:pt>
                <c:pt idx="10">
                  <c:v>0.0225563909774436</c:v>
                </c:pt>
                <c:pt idx="11">
                  <c:v>0.128787878787879</c:v>
                </c:pt>
                <c:pt idx="12">
                  <c:v>0.0303030303030303</c:v>
                </c:pt>
              </c:numCache>
            </c:numRef>
          </c:val>
        </c:ser>
        <c:ser>
          <c:idx val="1"/>
          <c:order val="1"/>
          <c:tx>
            <c:strRef>
              <c:f>label 1</c:f>
              <c:strCache>
                <c:ptCount val="1"/>
                <c:pt idx="0">
                  <c:v>%</c:v>
                </c:pt>
              </c:strCache>
            </c:strRef>
          </c:tx>
          <c:spPr>
            <a:solidFill>
              <a:srgbClr val="ff0000"/>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1</c:f>
              <c:numCache>
                <c:formatCode>General</c:formatCode>
                <c:ptCount val="13"/>
                <c:pt idx="0">
                  <c:v>0.170542635658915</c:v>
                </c:pt>
                <c:pt idx="1">
                  <c:v>0.267175572519084</c:v>
                </c:pt>
                <c:pt idx="2">
                  <c:v>0.204724409448819</c:v>
                </c:pt>
                <c:pt idx="3">
                  <c:v>0.126865671641791</c:v>
                </c:pt>
                <c:pt idx="4">
                  <c:v>0.0992366412213741</c:v>
                </c:pt>
                <c:pt idx="5">
                  <c:v>0.153846153846154</c:v>
                </c:pt>
                <c:pt idx="6">
                  <c:v>0.210526315789474</c:v>
                </c:pt>
                <c:pt idx="7">
                  <c:v>0.186046511627907</c:v>
                </c:pt>
                <c:pt idx="8">
                  <c:v>0.136363636363636</c:v>
                </c:pt>
                <c:pt idx="9">
                  <c:v>0.218045112781955</c:v>
                </c:pt>
                <c:pt idx="10">
                  <c:v>0.0526315789473684</c:v>
                </c:pt>
                <c:pt idx="11">
                  <c:v>0.234848484848485</c:v>
                </c:pt>
                <c:pt idx="12">
                  <c:v>0.128787878787879</c:v>
                </c:pt>
              </c:numCache>
            </c:numRef>
          </c:val>
        </c:ser>
        <c:ser>
          <c:idx val="2"/>
          <c:order val="2"/>
          <c:tx>
            <c:strRef>
              <c:f>label 2</c:f>
              <c:strCache>
                <c:ptCount val="1"/>
                <c:pt idx="0">
                  <c:v>%</c:v>
                </c:pt>
              </c:strCache>
            </c:strRef>
          </c:tx>
          <c:spPr>
            <a:solidFill>
              <a:srgbClr val="ff9933"/>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2</c:f>
              <c:numCache>
                <c:formatCode>General</c:formatCode>
                <c:ptCount val="13"/>
                <c:pt idx="0">
                  <c:v>0.286821705426357</c:v>
                </c:pt>
                <c:pt idx="1">
                  <c:v>0.175572519083969</c:v>
                </c:pt>
                <c:pt idx="2">
                  <c:v>0.291338582677165</c:v>
                </c:pt>
                <c:pt idx="3">
                  <c:v>0.26865671641791</c:v>
                </c:pt>
                <c:pt idx="4">
                  <c:v>0.236641221374046</c:v>
                </c:pt>
                <c:pt idx="5">
                  <c:v>0.215384615384615</c:v>
                </c:pt>
                <c:pt idx="6">
                  <c:v>0.180451127819549</c:v>
                </c:pt>
                <c:pt idx="7">
                  <c:v>0.317829457364341</c:v>
                </c:pt>
                <c:pt idx="8">
                  <c:v>0.189393939393939</c:v>
                </c:pt>
                <c:pt idx="9">
                  <c:v>0.263157894736842</c:v>
                </c:pt>
                <c:pt idx="10">
                  <c:v>0.225563909774436</c:v>
                </c:pt>
                <c:pt idx="11">
                  <c:v>0.204545454545455</c:v>
                </c:pt>
                <c:pt idx="12">
                  <c:v>0.287878787878788</c:v>
                </c:pt>
              </c:numCache>
            </c:numRef>
          </c:val>
        </c:ser>
        <c:ser>
          <c:idx val="3"/>
          <c:order val="3"/>
          <c:tx>
            <c:strRef>
              <c:f>label 3</c:f>
              <c:strCache>
                <c:ptCount val="1"/>
                <c:pt idx="0">
                  <c:v>%</c:v>
                </c:pt>
              </c:strCache>
            </c:strRef>
          </c:tx>
          <c:spPr>
            <a:solidFill>
              <a:srgbClr val="cccc00"/>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3</c:f>
              <c:numCache>
                <c:formatCode>General</c:formatCode>
                <c:ptCount val="13"/>
                <c:pt idx="0">
                  <c:v>0.294573643410853</c:v>
                </c:pt>
                <c:pt idx="1">
                  <c:v>0.206106870229008</c:v>
                </c:pt>
                <c:pt idx="2">
                  <c:v>0.244094488188976</c:v>
                </c:pt>
                <c:pt idx="3">
                  <c:v>0.246268656716418</c:v>
                </c:pt>
                <c:pt idx="4">
                  <c:v>0.297709923664122</c:v>
                </c:pt>
                <c:pt idx="5">
                  <c:v>0.361538461538461</c:v>
                </c:pt>
                <c:pt idx="6">
                  <c:v>0.308270676691729</c:v>
                </c:pt>
                <c:pt idx="7">
                  <c:v>0.255813953488372</c:v>
                </c:pt>
                <c:pt idx="8">
                  <c:v>0.287878787878788</c:v>
                </c:pt>
                <c:pt idx="9">
                  <c:v>0.142857142857143</c:v>
                </c:pt>
                <c:pt idx="10">
                  <c:v>0.37593984962406</c:v>
                </c:pt>
                <c:pt idx="11">
                  <c:v>0.227272727272727</c:v>
                </c:pt>
                <c:pt idx="12">
                  <c:v>0.310606060606061</c:v>
                </c:pt>
              </c:numCache>
            </c:numRef>
          </c:val>
        </c:ser>
        <c:ser>
          <c:idx val="4"/>
          <c:order val="4"/>
          <c:tx>
            <c:strRef>
              <c:f>label 4</c:f>
              <c:strCache>
                <c:ptCount val="1"/>
                <c:pt idx="0">
                  <c:v>%</c:v>
                </c:pt>
              </c:strCache>
            </c:strRef>
          </c:tx>
          <c:spPr>
            <a:solidFill>
              <a:srgbClr val="33cc33"/>
            </a:solidFill>
            <a:ln w="0">
              <a:solidFill>
                <a:srgbClr val="808080"/>
              </a:solidFill>
            </a:ln>
          </c:spPr>
          <c:invertIfNegative val="0"/>
          <c:dLbls>
            <c:numFmt formatCode="0%" sourceLinked="0"/>
            <c:txPr>
              <a:bodyPr wrap="none"/>
              <a:lstStyle/>
              <a:p>
                <a:pPr>
                  <a:defRPr b="0" sz="800" spc="-1" strike="noStrike">
                    <a:solidFill>
                      <a:srgbClr val="000000"/>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4</c:f>
              <c:numCache>
                <c:formatCode>General</c:formatCode>
                <c:ptCount val="13"/>
                <c:pt idx="0">
                  <c:v>0.147286821705426</c:v>
                </c:pt>
                <c:pt idx="1">
                  <c:v>0.0458015267175573</c:v>
                </c:pt>
                <c:pt idx="2">
                  <c:v>0.141732283464567</c:v>
                </c:pt>
                <c:pt idx="3">
                  <c:v>0.253731343283582</c:v>
                </c:pt>
                <c:pt idx="4">
                  <c:v>0.290076335877863</c:v>
                </c:pt>
                <c:pt idx="5">
                  <c:v>0.207692307692308</c:v>
                </c:pt>
                <c:pt idx="6">
                  <c:v>0.105263157894737</c:v>
                </c:pt>
                <c:pt idx="7">
                  <c:v>0.108527131782946</c:v>
                </c:pt>
                <c:pt idx="8">
                  <c:v>0.212121212121212</c:v>
                </c:pt>
                <c:pt idx="9">
                  <c:v>0.0451127819548872</c:v>
                </c:pt>
                <c:pt idx="10">
                  <c:v>0.270676691729323</c:v>
                </c:pt>
                <c:pt idx="11">
                  <c:v>0.174242424242424</c:v>
                </c:pt>
                <c:pt idx="12">
                  <c:v>0.204545454545455</c:v>
                </c:pt>
              </c:numCache>
            </c:numRef>
          </c:val>
        </c:ser>
        <c:ser>
          <c:idx val="5"/>
          <c:order val="5"/>
          <c:tx>
            <c:strRef>
              <c:f>label 5</c:f>
              <c:strCache>
                <c:ptCount val="1"/>
                <c:pt idx="0">
                  <c:v>%</c:v>
                </c:pt>
              </c:strCache>
            </c:strRef>
          </c:tx>
          <c:spPr>
            <a:solidFill>
              <a:srgbClr val="008000"/>
            </a:solidFill>
            <a:ln w="0">
              <a:solidFill>
                <a:srgbClr val="808080"/>
              </a:solidFill>
            </a:ln>
          </c:spPr>
          <c:invertIfNegative val="0"/>
          <c:dPt>
            <c:idx val="1"/>
            <c:invertIfNegative val="0"/>
            <c:spPr>
              <a:solidFill>
                <a:srgbClr val="008000"/>
              </a:solidFill>
              <a:ln w="0">
                <a:solidFill>
                  <a:srgbClr val="808080"/>
                </a:solidFill>
              </a:ln>
            </c:spPr>
          </c:dPt>
          <c:dLbls>
            <c:numFmt formatCode="0%" sourceLinked="0"/>
            <c:dLbl>
              <c:idx val="1"/>
              <c:txPr>
                <a:bodyPr wrap="none"/>
                <a:lstStyle/>
                <a:p>
                  <a:pPr>
                    <a:defRPr b="0" sz="800" spc="-1" strike="noStrike">
                      <a:solidFill>
                        <a:srgbClr val="ffffff"/>
                      </a:solidFill>
                      <a:latin typeface="Arial"/>
                    </a:defRPr>
                  </a:pPr>
                </a:p>
              </c:txPr>
              <c:dLblPos val="ctr"/>
              <c:showLegendKey val="0"/>
              <c:showVal val="0"/>
              <c:showCatName val="0"/>
              <c:showSerName val="0"/>
              <c:showPercent val="0"/>
              <c:separator>
</c:separator>
            </c:dLbl>
            <c:txPr>
              <a:bodyPr wrap="none"/>
              <a:lstStyle/>
              <a:p>
                <a:pPr>
                  <a:defRPr b="0" sz="800" spc="-1" strike="noStrike">
                    <a:solidFill>
                      <a:srgbClr val="ffffff"/>
                    </a:solidFill>
                    <a:latin typeface="Arial"/>
                  </a:defRPr>
                </a:pPr>
              </a:p>
            </c:txPr>
            <c:dLblPos val="ct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3"/>
                <c:pt idx="0">
                  <c:v>bezpieczeństwo publiczne</c:v>
                </c:pt>
                <c:pt idx="1">
                  <c:v>rynek pracy</c:v>
                </c:pt>
                <c:pt idx="2">
                  <c:v>aktywność społeczna</c:v>
                </c:pt>
                <c:pt idx="3">
                  <c:v>sport i rekreacja</c:v>
                </c:pt>
                <c:pt idx="4">
                  <c:v>kultura, historia, tradycje</c:v>
                </c:pt>
                <c:pt idx="5">
                  <c:v>edukacja</c:v>
                </c:pt>
                <c:pt idx="6">
                  <c:v>ochrona zdrowia</c:v>
                </c:pt>
                <c:pt idx="7">
                  <c:v>infrastruktura komunalna</c:v>
                </c:pt>
                <c:pt idx="8">
                  <c:v>turystyka</c:v>
                </c:pt>
                <c:pt idx="9">
                  <c:v>zarobki mieszkańców</c:v>
                </c:pt>
                <c:pt idx="10">
                  <c:v>estetyka miejscowości</c:v>
                </c:pt>
                <c:pt idx="11">
                  <c:v>oferta spędzania wolnego czasu</c:v>
                </c:pt>
                <c:pt idx="12">
                  <c:v>ochrona środowiska naturalnego</c:v>
                </c:pt>
              </c:strCache>
            </c:strRef>
          </c:cat>
          <c:val>
            <c:numRef>
              <c:f>5</c:f>
              <c:numCache>
                <c:formatCode>General</c:formatCode>
                <c:ptCount val="13"/>
                <c:pt idx="0">
                  <c:v>0.062015503875969</c:v>
                </c:pt>
                <c:pt idx="1">
                  <c:v>0</c:v>
                </c:pt>
                <c:pt idx="2">
                  <c:v>0.031496062992126</c:v>
                </c:pt>
                <c:pt idx="3">
                  <c:v>0.0895522388059701</c:v>
                </c:pt>
                <c:pt idx="4">
                  <c:v>0.0305343511450382</c:v>
                </c:pt>
                <c:pt idx="5">
                  <c:v>0.0307692307692308</c:v>
                </c:pt>
                <c:pt idx="6">
                  <c:v>0.0075187969924812</c:v>
                </c:pt>
                <c:pt idx="7">
                  <c:v>0.0155038759689922</c:v>
                </c:pt>
                <c:pt idx="8">
                  <c:v>0.0378787878787879</c:v>
                </c:pt>
                <c:pt idx="9">
                  <c:v>0.0150375939849624</c:v>
                </c:pt>
                <c:pt idx="10">
                  <c:v>0.0526315789473684</c:v>
                </c:pt>
                <c:pt idx="11">
                  <c:v>0.0303030303030303</c:v>
                </c:pt>
                <c:pt idx="12">
                  <c:v>0.0378787878787879</c:v>
                </c:pt>
              </c:numCache>
            </c:numRef>
          </c:val>
        </c:ser>
        <c:gapWidth val="73"/>
        <c:overlap val="100"/>
        <c:axId val="64864330"/>
        <c:axId val="94445553"/>
      </c:barChart>
      <c:catAx>
        <c:axId val="64864330"/>
        <c:scaling>
          <c:orientation val="maxMin"/>
        </c:scaling>
        <c:delete val="0"/>
        <c:axPos val="b"/>
        <c:numFmt formatCode="General" sourceLinked="0"/>
        <c:majorTickMark val="out"/>
        <c:minorTickMark val="none"/>
        <c:tickLblPos val="nextTo"/>
        <c:spPr>
          <a:ln w="0">
            <a:solidFill>
              <a:srgbClr val="808080"/>
            </a:solidFill>
          </a:ln>
        </c:spPr>
        <c:txPr>
          <a:bodyPr/>
          <a:lstStyle/>
          <a:p>
            <a:pPr>
              <a:defRPr b="0" sz="700" spc="-1" strike="noStrike">
                <a:solidFill>
                  <a:srgbClr val="000000"/>
                </a:solidFill>
                <a:latin typeface="Arial"/>
              </a:defRPr>
            </a:pPr>
          </a:p>
        </c:txPr>
        <c:crossAx val="94445553"/>
        <c:crosses val="autoZero"/>
        <c:auto val="1"/>
        <c:lblAlgn val="ctr"/>
        <c:lblOffset val="100"/>
        <c:noMultiLvlLbl val="0"/>
      </c:catAx>
      <c:valAx>
        <c:axId val="94445553"/>
        <c:scaling>
          <c:orientation val="minMax"/>
        </c:scaling>
        <c:delete val="0"/>
        <c:axPos val="l"/>
        <c:numFmt formatCode="[$-415]0%" sourceLinked="0"/>
        <c:majorTickMark val="out"/>
        <c:minorTickMark val="none"/>
        <c:tickLblPos val="nextTo"/>
        <c:spPr>
          <a:ln w="0">
            <a:solidFill>
              <a:srgbClr val="808080"/>
            </a:solidFill>
          </a:ln>
        </c:spPr>
        <c:txPr>
          <a:bodyPr/>
          <a:lstStyle/>
          <a:p>
            <a:pPr>
              <a:defRPr b="0" sz="600" spc="-1" strike="noStrike">
                <a:solidFill>
                  <a:srgbClr val="000000"/>
                </a:solidFill>
                <a:latin typeface="Arial"/>
              </a:defRPr>
            </a:pPr>
          </a:p>
        </c:txPr>
        <c:crossAx val="64864330"/>
        <c:crossesAt val="1"/>
        <c:crossBetween val="between"/>
        <c:majorUnit val="0.1"/>
      </c:valAx>
      <c:spPr>
        <a:solidFill>
          <a:srgbClr val="ffffff"/>
        </a:solidFill>
        <a:ln w="0">
          <a:noFill/>
        </a:ln>
      </c:spPr>
    </c:plotArea>
    <c:plotVisOnly val="1"/>
    <c:dispBlanksAs val="gap"/>
  </c:chart>
  <c:spPr>
    <a:solidFill>
      <a:srgbClr val="ffffff"/>
    </a:solidFill>
    <a:ln w="0">
      <a:noFill/>
    </a:ln>
  </c:spPr>
</c:chartSpace>
</file>

<file path=docProps/app.xml><?xml version="1.0" encoding="utf-8"?>
<Properties xmlns="http://schemas.openxmlformats.org/officeDocument/2006/extended-properties" xmlns:vt="http://schemas.openxmlformats.org/officeDocument/2006/docPropsVTypes">
  <Template>Normal.dotm</Template>
  <TotalTime>4</TotalTime>
  <Application>LibreOffice/7.2.0.4$Windows_X86_64 LibreOffice_project/9a9c6381e3f7a62afc1329bd359cc48accb6435b</Application>
  <AppVersion>15.0000</AppVersion>
  <Pages>86</Pages>
  <Words>31394</Words>
  <Characters>205761</Characters>
  <CharactersWithSpaces>233681</CharactersWithSpaces>
  <Paragraphs>4292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2022-03-07T10:24:00Z</dcterms:created>
  <dc:creator>Anna mow</dc:creator>
  <dc:description/>
  <dc:language>pl-PL</dc:language>
  <cp:lastModifiedBy>Paweł</cp:lastModifiedBy>
  <cp:lastPrinted>2021-05-27T08:55:00Z</cp:lastPrinted>
  <dcterms:modified xsi:type="dcterms:W3CDTF">2022-03-07T10:24:00Z</dcterms:modified>
  <cp:revision>2</cp:revision>
  <dc:subject/>
  <dc:title/>
</cp:coreProperties>
</file>